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spacing w:before="7"/>
        <w:ind w:left="0"/>
        <w:rPr>
          <w:rFonts w:ascii="Times New Roman"/>
          <w:sz w:val="28"/>
        </w:rPr>
      </w:pPr>
    </w:p>
    <w:p>
      <w:pPr>
        <w:tabs>
          <w:tab w:val="left" w:pos="2164"/>
          <w:tab w:val="left" w:pos="4329"/>
          <w:tab w:val="left" w:pos="6494"/>
        </w:tabs>
        <w:spacing w:before="0" w:line="2087" w:lineRule="exact"/>
        <w:ind w:left="0" w:right="169" w:firstLine="0"/>
        <w:jc w:val="center"/>
        <w:rPr>
          <w:rFonts w:hint="eastAsia" w:ascii="Microsoft JhengHei" w:eastAsia="Microsoft JhengHei"/>
          <w:b/>
          <w:sz w:val="144"/>
        </w:rPr>
      </w:pPr>
      <w:r>
        <w:rPr>
          <w:rFonts w:hint="eastAsia" w:ascii="Microsoft JhengHei" w:eastAsia="Microsoft JhengHei"/>
          <w:b/>
          <w:color w:val="FF0000"/>
          <w:sz w:val="144"/>
        </w:rPr>
        <w:t>工</w:t>
      </w:r>
      <w:r>
        <w:rPr>
          <w:rFonts w:hint="eastAsia" w:ascii="Microsoft JhengHei" w:eastAsia="Microsoft JhengHei"/>
          <w:b/>
          <w:color w:val="FF0000"/>
          <w:sz w:val="144"/>
        </w:rPr>
        <w:tab/>
      </w:r>
      <w:r>
        <w:rPr>
          <w:rFonts w:hint="eastAsia" w:ascii="Microsoft JhengHei" w:eastAsia="Microsoft JhengHei"/>
          <w:b/>
          <w:color w:val="FF0000"/>
          <w:sz w:val="144"/>
        </w:rPr>
        <w:t>作</w:t>
      </w:r>
      <w:r>
        <w:rPr>
          <w:rFonts w:hint="eastAsia" w:ascii="Microsoft JhengHei" w:eastAsia="Microsoft JhengHei"/>
          <w:b/>
          <w:color w:val="FF0000"/>
          <w:sz w:val="144"/>
        </w:rPr>
        <w:tab/>
      </w:r>
      <w:r>
        <w:rPr>
          <w:rFonts w:hint="eastAsia" w:ascii="Microsoft JhengHei" w:eastAsia="Microsoft JhengHei"/>
          <w:b/>
          <w:color w:val="FF0000"/>
          <w:sz w:val="144"/>
        </w:rPr>
        <w:t>通</w:t>
      </w:r>
      <w:r>
        <w:rPr>
          <w:rFonts w:hint="eastAsia" w:ascii="Microsoft JhengHei" w:eastAsia="Microsoft JhengHei"/>
          <w:b/>
          <w:color w:val="FF0000"/>
          <w:sz w:val="144"/>
        </w:rPr>
        <w:tab/>
      </w:r>
      <w:r>
        <w:rPr>
          <w:rFonts w:hint="eastAsia" w:ascii="Microsoft JhengHei" w:eastAsia="Microsoft JhengHei"/>
          <w:b/>
          <w:color w:val="FF0000"/>
          <w:sz w:val="144"/>
        </w:rPr>
        <w:t>报</w:t>
      </w:r>
    </w:p>
    <w:p>
      <w:pPr>
        <w:pStyle w:val="2"/>
        <w:spacing w:before="385"/>
        <w:ind w:left="0" w:right="167"/>
        <w:jc w:val="center"/>
      </w:pPr>
      <w:r>
        <w:t>第</w:t>
      </w:r>
      <w:r>
        <w:rPr>
          <w:rFonts w:hint="eastAsia"/>
          <w:lang w:val="en-US" w:eastAsia="zh-CN"/>
        </w:rPr>
        <w:t xml:space="preserve"> 一 </w:t>
      </w:r>
      <w:r>
        <w:t>期</w:t>
      </w:r>
    </w:p>
    <w:p>
      <w:pPr>
        <w:pStyle w:val="2"/>
        <w:spacing w:before="1"/>
        <w:ind w:left="0"/>
        <w:rPr>
          <w:sz w:val="46"/>
        </w:rPr>
      </w:pPr>
    </w:p>
    <w:p>
      <w:pPr>
        <w:pStyle w:val="2"/>
        <w:tabs>
          <w:tab w:val="left" w:pos="5119"/>
        </w:tabs>
        <w:ind w:left="0" w:right="165"/>
        <w:jc w:val="both"/>
      </w:pPr>
      <w:r>
        <w:rPr>
          <w:rFonts w:ascii="仿宋_GB2312" w:hAnsi="仿宋_GB2312" w:eastAsia="仿宋_GB2312" w:cs="仿宋_GB2312"/>
          <w:color w:val="FF0000"/>
          <w:sz w:val="32"/>
          <w:szCs w:val="32"/>
          <w:lang w:val="en-US" w:eastAsia="en-US" w:bidi="ar-SA"/>
        </w:rPr>
        <mc:AlternateContent>
          <mc:Choice Requires="wps">
            <w:drawing>
              <wp:anchor distT="0" distB="0" distL="114300" distR="114300" simplePos="0" relativeHeight="251659264" behindDoc="1" locked="0" layoutInCell="1" allowOverlap="1">
                <wp:simplePos x="0" y="0"/>
                <wp:positionH relativeFrom="page">
                  <wp:posOffset>972185</wp:posOffset>
                </wp:positionH>
                <wp:positionV relativeFrom="paragraph">
                  <wp:posOffset>231140</wp:posOffset>
                </wp:positionV>
                <wp:extent cx="5687695" cy="635"/>
                <wp:effectExtent l="0" t="0" r="0" b="0"/>
                <wp:wrapNone/>
                <wp:docPr id="1" name="Line 2"/>
                <wp:cNvGraphicFramePr/>
                <a:graphic xmlns:a="http://schemas.openxmlformats.org/drawingml/2006/main">
                  <a:graphicData uri="http://schemas.microsoft.com/office/word/2010/wordprocessingShape">
                    <wps:wsp>
                      <wps:cNvCnPr/>
                      <wps:spPr>
                        <a:xfrm>
                          <a:off x="0" y="0"/>
                          <a:ext cx="5687695" cy="635"/>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Line 2" o:spid="_x0000_s1026" o:spt="20" style="position:absolute;left:0pt;margin-left:76.55pt;margin-top:18.2pt;height:0.05pt;width:447.85pt;mso-position-horizontal-relative:page;z-index:-251657216;mso-width-relative:page;mso-height-relative:page;" filled="f" stroked="t" coordsize="21600,21600" o:gfxdata="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7XucDtcAAAAKAQAADwAA&#10;AAAAAAABACAAAAAiAAAAZHJzL2Rvd25yZXYueG1sUEsBAhQAFAAAAAgAh07iQCtNpIHeAQAA2wMA&#10;AA4AAAAAAAAAAQAgAAAAJgEAAGRycy9lMm9Eb2MueG1sUEsFBgAAAAAGAAYAWQEAAHYFAAAAAA==&#10;">
                <v:fill on="f" focussize="0,0"/>
                <v:stroke color="#FF0000" joinstyle="round"/>
                <v:imagedata o:title=""/>
                <o:lock v:ext="edit" aspectratio="f"/>
              </v:line>
            </w:pict>
          </mc:Fallback>
        </mc:AlternateContent>
      </w:r>
      <w:r>
        <w:rPr>
          <w:rFonts w:hint="eastAsia"/>
          <w:color w:val="FF0000"/>
          <w:lang w:val="en-US" w:eastAsia="zh-CN"/>
        </w:rPr>
        <w:t xml:space="preserve">  </w:t>
      </w:r>
      <w:r>
        <w:rPr>
          <w:rFonts w:hint="eastAsia"/>
          <w:color w:val="000000"/>
          <w:lang w:val="en-US" w:eastAsia="zh-CN"/>
        </w:rPr>
        <w:t>巩义市公共资源交易中心</w:t>
      </w:r>
      <w:r>
        <w:rPr>
          <w:rFonts w:hint="eastAsia"/>
          <w:color w:val="FF0000"/>
          <w:lang w:val="en-US" w:eastAsia="zh-CN"/>
        </w:rPr>
        <w:t xml:space="preserve">           </w:t>
      </w:r>
      <w:r>
        <w:rPr>
          <w:color w:val="000000"/>
          <w:spacing w:val="41"/>
        </w:rPr>
        <w:t>二</w:t>
      </w:r>
      <w:r>
        <w:rPr>
          <w:rFonts w:ascii="Times New Roman" w:eastAsia="Times New Roman"/>
          <w:color w:val="000000"/>
        </w:rPr>
        <w:t>O</w:t>
      </w:r>
      <w:r>
        <w:rPr>
          <w:rFonts w:hint="eastAsia" w:ascii="Times New Roman" w:eastAsia="宋体"/>
          <w:color w:val="000000"/>
          <w:lang w:val="en-US" w:eastAsia="zh-CN"/>
        </w:rPr>
        <w:t xml:space="preserve"> </w:t>
      </w:r>
      <w:r>
        <w:rPr>
          <w:color w:val="000000"/>
          <w:spacing w:val="41"/>
        </w:rPr>
        <w:t>二</w:t>
      </w:r>
      <w:r>
        <w:rPr>
          <w:rFonts w:hint="eastAsia"/>
          <w:color w:val="000000"/>
          <w:spacing w:val="41"/>
          <w:lang w:val="en-US" w:eastAsia="zh-CN"/>
        </w:rPr>
        <w:t>一</w:t>
      </w:r>
      <w:r>
        <w:rPr>
          <w:rFonts w:hint="eastAsia" w:ascii="Times New Roman" w:eastAsia="宋体"/>
          <w:color w:val="000000"/>
          <w:lang w:val="en-US" w:eastAsia="zh-CN"/>
        </w:rPr>
        <w:t xml:space="preserve"> </w:t>
      </w:r>
      <w:r>
        <w:rPr>
          <w:color w:val="000000"/>
        </w:rPr>
        <w:t>年</w:t>
      </w:r>
      <w:r>
        <w:rPr>
          <w:rFonts w:hint="eastAsia"/>
          <w:color w:val="000000"/>
          <w:lang w:val="en-US" w:eastAsia="zh-CN"/>
        </w:rPr>
        <w:t>二</w:t>
      </w:r>
      <w:r>
        <w:rPr>
          <w:color w:val="000000"/>
        </w:rPr>
        <w:t>月</w:t>
      </w:r>
      <w:r>
        <w:rPr>
          <w:rFonts w:hint="eastAsia"/>
          <w:color w:val="000000"/>
          <w:lang w:val="en-US" w:eastAsia="zh-CN"/>
        </w:rPr>
        <w:t>四</w:t>
      </w:r>
      <w:r>
        <w:rPr>
          <w:color w:val="000000"/>
        </w:rPr>
        <w:t>日</w:t>
      </w:r>
    </w:p>
    <w:p>
      <w:pPr>
        <w:pStyle w:val="2"/>
        <w:widowControl w:val="0"/>
        <w:wordWrap/>
        <w:adjustRightInd/>
        <w:snapToGrid/>
        <w:spacing w:before="0" w:after="0" w:line="560" w:lineRule="exact"/>
        <w:ind w:left="0"/>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spacing w:val="-5"/>
          <w:sz w:val="44"/>
          <w:szCs w:val="44"/>
        </w:rPr>
      </w:pPr>
      <w:r>
        <w:rPr>
          <w:rFonts w:hint="eastAsia" w:ascii="方正小标宋简体" w:hAnsi="方正小标宋简体" w:eastAsia="方正小标宋简体" w:cs="方正小标宋简体"/>
          <w:b w:val="0"/>
          <w:bCs w:val="0"/>
          <w:spacing w:val="-5"/>
          <w:sz w:val="44"/>
          <w:szCs w:val="44"/>
          <w:lang w:val="en-US" w:eastAsia="zh-CN"/>
        </w:rPr>
        <w:t>2021</w:t>
      </w:r>
      <w:r>
        <w:rPr>
          <w:rFonts w:hint="eastAsia" w:ascii="方正小标宋简体" w:hAnsi="方正小标宋简体" w:eastAsia="方正小标宋简体" w:cs="方正小标宋简体"/>
          <w:b w:val="0"/>
          <w:bCs w:val="0"/>
          <w:spacing w:val="-5"/>
          <w:sz w:val="44"/>
          <w:szCs w:val="44"/>
        </w:rPr>
        <w:t>年</w:t>
      </w:r>
      <w:r>
        <w:rPr>
          <w:rFonts w:hint="eastAsia" w:ascii="方正小标宋简体" w:hAnsi="方正小标宋简体" w:eastAsia="方正小标宋简体" w:cs="方正小标宋简体"/>
          <w:b w:val="0"/>
          <w:bCs w:val="0"/>
          <w:spacing w:val="-5"/>
          <w:sz w:val="44"/>
          <w:szCs w:val="44"/>
          <w:lang w:val="en-US" w:eastAsia="zh-CN"/>
        </w:rPr>
        <w:t>1月份</w:t>
      </w:r>
      <w:r>
        <w:rPr>
          <w:rFonts w:hint="eastAsia" w:ascii="方正小标宋简体" w:hAnsi="方正小标宋简体" w:eastAsia="方正小标宋简体" w:cs="方正小标宋简体"/>
          <w:b w:val="0"/>
          <w:bCs w:val="0"/>
          <w:spacing w:val="-5"/>
          <w:sz w:val="44"/>
          <w:szCs w:val="44"/>
        </w:rPr>
        <w:t>代理机构场内服务行为</w:t>
      </w:r>
    </w:p>
    <w:p>
      <w:pPr>
        <w:widowControl w:val="0"/>
        <w:wordWrap/>
        <w:adjustRightInd/>
        <w:snapToGrid/>
        <w:spacing w:before="0" w:after="0"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spacing w:val="-5"/>
          <w:sz w:val="44"/>
          <w:szCs w:val="44"/>
        </w:rPr>
        <w:t>考评情况</w:t>
      </w:r>
      <w:r>
        <w:rPr>
          <w:rFonts w:hint="eastAsia" w:ascii="方正小标宋简体" w:hAnsi="方正小标宋简体" w:eastAsia="方正小标宋简体" w:cs="方正小标宋简体"/>
          <w:b w:val="0"/>
          <w:bCs w:val="0"/>
          <w:sz w:val="44"/>
          <w:szCs w:val="44"/>
        </w:rPr>
        <w:t>通报</w:t>
      </w:r>
    </w:p>
    <w:p>
      <w:pPr>
        <w:pStyle w:val="2"/>
        <w:widowControl w:val="0"/>
        <w:wordWrap/>
        <w:adjustRightInd/>
        <w:snapToGrid/>
        <w:spacing w:before="0" w:after="0" w:line="560" w:lineRule="exact"/>
        <w:ind w:left="0"/>
        <w:jc w:val="center"/>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cs="Times New Roman"/>
          <w:sz w:val="32"/>
          <w:szCs w:val="32"/>
          <w:lang w:val="en-US" w:eastAsia="zh-CN"/>
        </w:rPr>
        <w:t>为进一步加强对巩义市公共资源交易平台代理机构的管理，规范代理机构行为，提高代理服务质量，</w:t>
      </w:r>
      <w:r>
        <w:rPr>
          <w:rFonts w:hint="default" w:ascii="Times New Roman" w:hAnsi="Times New Roman" w:eastAsia="仿宋_GB2312" w:cs="Times New Roman"/>
          <w:sz w:val="32"/>
          <w:szCs w:val="32"/>
          <w:lang w:val="en-US" w:eastAsia="zh-CN"/>
        </w:rPr>
        <w:t>根据《巩义市公共资源交易进场代理机构评价细则（试行）》（巩交易〔20</w:t>
      </w:r>
      <w:r>
        <w:rPr>
          <w:rFonts w:hint="eastAsia" w:ascii="Times New Roman" w:hAnsi="Times New Roman" w:cs="Times New Roman"/>
          <w:sz w:val="32"/>
          <w:szCs w:val="32"/>
          <w:lang w:val="en-US" w:eastAsia="zh-CN"/>
        </w:rPr>
        <w:t>20</w:t>
      </w:r>
      <w:r>
        <w:rPr>
          <w:rFonts w:hint="default" w:ascii="Times New Roman" w:hAnsi="Times New Roman" w:eastAsia="仿宋_GB2312" w:cs="Times New Roman"/>
          <w:sz w:val="32"/>
          <w:szCs w:val="32"/>
          <w:lang w:val="en-US" w:eastAsia="zh-CN"/>
        </w:rPr>
        <w:t>〕</w:t>
      </w:r>
      <w:r>
        <w:rPr>
          <w:rFonts w:hint="eastAsia" w:ascii="Times New Roman" w:hAnsi="Times New Roman" w:cs="Times New Roman"/>
          <w:sz w:val="32"/>
          <w:szCs w:val="32"/>
          <w:lang w:val="en-US" w:eastAsia="zh-CN"/>
        </w:rPr>
        <w:t>19</w:t>
      </w:r>
      <w:r>
        <w:rPr>
          <w:rFonts w:hint="default" w:ascii="Times New Roman" w:hAnsi="Times New Roman" w:eastAsia="仿宋_GB2312" w:cs="Times New Roman"/>
          <w:sz w:val="32"/>
          <w:szCs w:val="32"/>
          <w:lang w:val="en-US" w:eastAsia="zh-CN"/>
        </w:rPr>
        <w:t>号）规定，市公共资源交易中心对</w:t>
      </w:r>
      <w:r>
        <w:rPr>
          <w:rFonts w:hint="eastAsia" w:ascii="Times New Roman" w:hAnsi="Times New Roman" w:cs="Times New Roman"/>
          <w:sz w:val="32"/>
          <w:szCs w:val="32"/>
          <w:lang w:val="en-US" w:eastAsia="zh-CN"/>
        </w:rPr>
        <w:t>1</w:t>
      </w:r>
      <w:r>
        <w:rPr>
          <w:rFonts w:hint="default" w:ascii="Times New Roman" w:hAnsi="Times New Roman" w:eastAsia="仿宋_GB2312" w:cs="Times New Roman"/>
          <w:sz w:val="32"/>
          <w:szCs w:val="32"/>
          <w:lang w:val="en-US" w:eastAsia="zh-CN"/>
        </w:rPr>
        <w:t>月份进入中心开展公共资源交易代理服务的</w:t>
      </w:r>
      <w:r>
        <w:rPr>
          <w:rFonts w:hint="eastAsia" w:ascii="Times New Roman" w:hAnsi="Times New Roman" w:cs="Times New Roman"/>
          <w:sz w:val="32"/>
          <w:szCs w:val="32"/>
          <w:lang w:val="en-US" w:eastAsia="zh-CN"/>
        </w:rPr>
        <w:t>代理</w:t>
      </w:r>
      <w:r>
        <w:rPr>
          <w:rFonts w:hint="default" w:ascii="Times New Roman" w:hAnsi="Times New Roman" w:eastAsia="仿宋_GB2312" w:cs="Times New Roman"/>
          <w:sz w:val="32"/>
          <w:szCs w:val="32"/>
          <w:lang w:val="en-US" w:eastAsia="zh-CN"/>
        </w:rPr>
        <w:t>机构</w:t>
      </w:r>
      <w:r>
        <w:rPr>
          <w:rFonts w:hint="eastAsia" w:ascii="Times New Roman" w:hAnsi="Times New Roman" w:eastAsia="仿宋_GB2312" w:cs="Times New Roman"/>
          <w:sz w:val="32"/>
          <w:szCs w:val="32"/>
          <w:lang w:val="en-US" w:eastAsia="zh-CN"/>
        </w:rPr>
        <w:t>进行了</w:t>
      </w:r>
      <w:r>
        <w:rPr>
          <w:rFonts w:hint="eastAsia" w:ascii="Times New Roman" w:hAnsi="Times New Roman" w:cs="Times New Roman"/>
          <w:sz w:val="32"/>
          <w:szCs w:val="32"/>
          <w:lang w:val="en-US" w:eastAsia="zh-CN"/>
        </w:rPr>
        <w:t>综合</w:t>
      </w:r>
      <w:r>
        <w:rPr>
          <w:rFonts w:hint="default" w:ascii="Times New Roman" w:hAnsi="Times New Roman" w:eastAsia="仿宋_GB2312" w:cs="Times New Roman"/>
          <w:sz w:val="32"/>
          <w:szCs w:val="32"/>
          <w:lang w:val="en-US" w:eastAsia="zh-CN"/>
        </w:rPr>
        <w:t>考评，现将考评情况通报如下：</w:t>
      </w:r>
    </w:p>
    <w:p>
      <w:pPr>
        <w:widowControl w:val="0"/>
        <w:wordWrap/>
        <w:adjustRightInd/>
        <w:snapToGrid/>
        <w:spacing w:before="0" w:after="0" w:line="600" w:lineRule="exact"/>
        <w:ind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cs="Times New Roman"/>
          <w:sz w:val="32"/>
          <w:szCs w:val="32"/>
          <w:lang w:val="en-US" w:eastAsia="zh-CN"/>
        </w:rPr>
        <w:t>1</w:t>
      </w:r>
      <w:r>
        <w:rPr>
          <w:rFonts w:hint="default" w:ascii="Times New Roman" w:hAnsi="Times New Roman" w:eastAsia="仿宋_GB2312" w:cs="Times New Roman"/>
          <w:sz w:val="32"/>
          <w:szCs w:val="32"/>
          <w:lang w:val="en-US" w:eastAsia="zh-CN"/>
        </w:rPr>
        <w:t>月份共有</w:t>
      </w:r>
      <w:r>
        <w:rPr>
          <w:rFonts w:hint="eastAsia" w:ascii="Times New Roman" w:hAnsi="Times New Roman" w:cs="Times New Roman"/>
          <w:sz w:val="32"/>
          <w:szCs w:val="32"/>
          <w:lang w:val="en-US" w:eastAsia="zh-CN"/>
        </w:rPr>
        <w:t>23</w:t>
      </w:r>
      <w:r>
        <w:rPr>
          <w:rFonts w:hint="default" w:ascii="Times New Roman" w:hAnsi="Times New Roman" w:eastAsia="仿宋_GB2312" w:cs="Times New Roman"/>
          <w:sz w:val="32"/>
          <w:szCs w:val="32"/>
          <w:lang w:val="en-US" w:eastAsia="zh-CN"/>
        </w:rPr>
        <w:t>家代理机构进入中心</w:t>
      </w:r>
      <w:r>
        <w:rPr>
          <w:rFonts w:hint="eastAsia" w:ascii="Times New Roman" w:hAnsi="Times New Roman" w:cs="Times New Roman"/>
          <w:sz w:val="32"/>
          <w:szCs w:val="32"/>
          <w:lang w:val="en-US" w:eastAsia="zh-CN"/>
        </w:rPr>
        <w:t>平台</w:t>
      </w:r>
      <w:r>
        <w:rPr>
          <w:rFonts w:hint="default" w:ascii="Times New Roman" w:hAnsi="Times New Roman" w:eastAsia="仿宋_GB2312" w:cs="Times New Roman"/>
          <w:sz w:val="32"/>
          <w:szCs w:val="32"/>
          <w:lang w:val="en-US" w:eastAsia="zh-CN"/>
        </w:rPr>
        <w:t>开展进场交易项目</w:t>
      </w:r>
      <w:r>
        <w:rPr>
          <w:rFonts w:hint="eastAsia" w:ascii="Times New Roman" w:hAnsi="Times New Roman" w:cs="Times New Roman"/>
          <w:sz w:val="32"/>
          <w:szCs w:val="32"/>
          <w:lang w:val="en-US" w:eastAsia="zh-CN"/>
        </w:rPr>
        <w:t>代理业务</w:t>
      </w:r>
      <w:r>
        <w:rPr>
          <w:rFonts w:hint="default" w:ascii="Times New Roman" w:hAnsi="Times New Roman" w:eastAsia="仿宋_GB2312" w:cs="Times New Roman"/>
          <w:sz w:val="32"/>
          <w:szCs w:val="32"/>
          <w:lang w:val="en-US" w:eastAsia="zh-CN"/>
        </w:rPr>
        <w:t>，整体开标过程组织规范，</w:t>
      </w:r>
      <w:r>
        <w:rPr>
          <w:rFonts w:hint="eastAsia" w:ascii="Times New Roman" w:hAnsi="Times New Roman" w:cs="Times New Roman"/>
          <w:sz w:val="32"/>
          <w:szCs w:val="32"/>
          <w:lang w:val="en-US" w:eastAsia="zh-CN"/>
        </w:rPr>
        <w:t>服务态度良好</w:t>
      </w:r>
      <w:r>
        <w:rPr>
          <w:rFonts w:hint="default" w:ascii="Times New Roman" w:hAnsi="Times New Roman" w:eastAsia="仿宋_GB2312" w:cs="Times New Roman"/>
          <w:sz w:val="32"/>
          <w:szCs w:val="32"/>
          <w:lang w:val="en-US" w:eastAsia="zh-CN"/>
        </w:rPr>
        <w:t>，</w:t>
      </w:r>
      <w:r>
        <w:rPr>
          <w:rFonts w:hint="eastAsia" w:ascii="Times New Roman" w:hAnsi="Times New Roman" w:cs="Times New Roman"/>
          <w:sz w:val="32"/>
          <w:szCs w:val="32"/>
          <w:lang w:val="en-US" w:eastAsia="zh-CN"/>
        </w:rPr>
        <w:t>能够严格按照中心疫情防控工作准则配合专家抽取和开评标服务工作，</w:t>
      </w:r>
      <w:r>
        <w:rPr>
          <w:rFonts w:hint="default" w:ascii="Times New Roman" w:hAnsi="Times New Roman" w:eastAsia="仿宋_GB2312" w:cs="Times New Roman"/>
          <w:sz w:val="32"/>
          <w:szCs w:val="32"/>
          <w:lang w:val="en-US" w:eastAsia="zh-CN"/>
        </w:rPr>
        <w:t>遵守中心各项行为规范</w:t>
      </w:r>
      <w:r>
        <w:rPr>
          <w:rFonts w:hint="eastAsia" w:ascii="Times New Roman" w:hAnsi="Times New Roman" w:cs="Times New Roman"/>
          <w:sz w:val="32"/>
          <w:szCs w:val="32"/>
          <w:lang w:val="en-US" w:eastAsia="zh-CN"/>
        </w:rPr>
        <w:t>，未存在扣分项。</w:t>
      </w:r>
    </w:p>
    <w:p>
      <w:pPr>
        <w:widowControl w:val="0"/>
        <w:wordWrap/>
        <w:adjustRightInd/>
        <w:snapToGrid/>
        <w:spacing w:before="0" w:after="0" w:line="600" w:lineRule="exact"/>
        <w:ind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cs="Times New Roman"/>
          <w:sz w:val="32"/>
          <w:szCs w:val="32"/>
          <w:lang w:val="en-US" w:eastAsia="zh-CN"/>
        </w:rPr>
        <w:t>1月份</w:t>
      </w:r>
      <w:r>
        <w:rPr>
          <w:rFonts w:hint="default" w:ascii="Times New Roman" w:hAnsi="Times New Roman" w:eastAsia="仿宋_GB2312" w:cs="Times New Roman"/>
          <w:sz w:val="32"/>
          <w:szCs w:val="32"/>
          <w:lang w:val="en-US" w:eastAsia="zh-CN"/>
        </w:rPr>
        <w:t>各代理机构</w:t>
      </w:r>
      <w:r>
        <w:rPr>
          <w:rFonts w:hint="eastAsia" w:ascii="Times New Roman" w:hAnsi="Times New Roman" w:cs="Times New Roman"/>
          <w:sz w:val="32"/>
          <w:szCs w:val="32"/>
          <w:lang w:val="en-US" w:eastAsia="zh-CN"/>
        </w:rPr>
        <w:t>表现良好，</w:t>
      </w:r>
      <w:r>
        <w:rPr>
          <w:rFonts w:hint="eastAsia" w:ascii="Times New Roman" w:hAnsi="Times New Roman" w:cs="Times New Roman"/>
          <w:color w:val="auto"/>
          <w:sz w:val="32"/>
          <w:szCs w:val="32"/>
          <w:lang w:val="en-US" w:eastAsia="zh-CN"/>
        </w:rPr>
        <w:t>但仍</w:t>
      </w:r>
      <w:r>
        <w:rPr>
          <w:rFonts w:hint="default" w:ascii="Times New Roman" w:hAnsi="Times New Roman" w:eastAsia="仿宋_GB2312" w:cs="Times New Roman"/>
          <w:color w:val="auto"/>
          <w:sz w:val="32"/>
          <w:szCs w:val="32"/>
          <w:lang w:val="en-US" w:eastAsia="zh-CN"/>
        </w:rPr>
        <w:t>存在</w:t>
      </w:r>
      <w:r>
        <w:rPr>
          <w:rFonts w:hint="eastAsia" w:ascii="Times New Roman" w:hAnsi="Times New Roman" w:cs="Times New Roman"/>
          <w:color w:val="auto"/>
          <w:sz w:val="32"/>
          <w:szCs w:val="32"/>
          <w:lang w:val="en-US" w:eastAsia="zh-CN"/>
        </w:rPr>
        <w:t>个别代理机构在系统操作中</w:t>
      </w:r>
      <w:r>
        <w:rPr>
          <w:rFonts w:hint="default" w:ascii="Times New Roman" w:hAnsi="Times New Roman" w:eastAsia="仿宋_GB2312" w:cs="Times New Roman"/>
          <w:color w:val="auto"/>
          <w:sz w:val="32"/>
          <w:szCs w:val="32"/>
          <w:lang w:val="en-US" w:eastAsia="zh-CN"/>
        </w:rPr>
        <w:t>上传资料不认真、不细致的问题，希望各代理机构能够引起重视</w:t>
      </w:r>
      <w:r>
        <w:rPr>
          <w:rFonts w:hint="eastAsia" w:ascii="Times New Roman" w:hAnsi="Times New Roman" w:cs="Times New Roman"/>
          <w:color w:val="auto"/>
          <w:sz w:val="32"/>
          <w:szCs w:val="32"/>
          <w:lang w:val="en-US" w:eastAsia="zh-CN"/>
        </w:rPr>
        <w:t>，</w:t>
      </w:r>
      <w:r>
        <w:rPr>
          <w:rFonts w:hint="eastAsia" w:ascii="Times New Roman" w:hAnsi="Times New Roman" w:eastAsia="仿宋_GB2312" w:cs="Times New Roman"/>
          <w:sz w:val="32"/>
          <w:szCs w:val="32"/>
          <w:lang w:val="en-US" w:eastAsia="zh-CN"/>
        </w:rPr>
        <w:t>进一步加强公司从业人员业务知识学习，增强工作责任心，提高代理服务的质量和效率</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推进我市公共</w:t>
      </w:r>
      <w:r>
        <w:rPr>
          <w:rFonts w:hint="eastAsia" w:ascii="Times New Roman" w:hAnsi="Times New Roman" w:cs="Times New Roman"/>
          <w:sz w:val="32"/>
          <w:szCs w:val="32"/>
          <w:lang w:val="en-US" w:eastAsia="zh-CN"/>
        </w:rPr>
        <w:t>资源</w:t>
      </w:r>
      <w:r>
        <w:rPr>
          <w:rFonts w:hint="default" w:ascii="Times New Roman" w:hAnsi="Times New Roman" w:eastAsia="仿宋_GB2312" w:cs="Times New Roman"/>
          <w:sz w:val="32"/>
          <w:szCs w:val="32"/>
          <w:lang w:val="en-US" w:eastAsia="zh-CN"/>
        </w:rPr>
        <w:t>交易工作健康发展</w:t>
      </w:r>
      <w:r>
        <w:rPr>
          <w:rFonts w:hint="eastAsia" w:ascii="Times New Roman" w:hAnsi="Times New Roman" w:cs="Times New Roman"/>
          <w:sz w:val="32"/>
          <w:szCs w:val="32"/>
          <w:lang w:val="en-US" w:eastAsia="zh-CN"/>
        </w:rPr>
        <w:t>。</w:t>
      </w:r>
    </w:p>
    <w:p>
      <w:pPr>
        <w:widowControl w:val="0"/>
        <w:wordWrap/>
        <w:adjustRightInd/>
        <w:snapToGrid/>
        <w:spacing w:before="0" w:after="0" w:line="600" w:lineRule="exact"/>
        <w:ind w:right="0"/>
        <w:jc w:val="both"/>
        <w:textAlignment w:val="auto"/>
        <w:outlineLvl w:val="9"/>
        <w:rPr>
          <w:rFonts w:hint="default" w:ascii="Times New Roman" w:hAnsi="Times New Roman" w:eastAsia="仿宋_GB2312" w:cs="Times New Roman"/>
          <w:sz w:val="32"/>
          <w:szCs w:val="32"/>
          <w:lang w:val="en-US" w:eastAsia="zh-CN"/>
        </w:rPr>
      </w:pPr>
    </w:p>
    <w:p>
      <w:pPr>
        <w:widowControl w:val="0"/>
        <w:wordWrap/>
        <w:adjustRightInd/>
        <w:snapToGrid/>
        <w:spacing w:before="0" w:after="0" w:line="600" w:lineRule="exact"/>
        <w:ind w:right="0"/>
        <w:jc w:val="both"/>
        <w:textAlignment w:val="auto"/>
        <w:outlineLvl w:val="9"/>
        <w:rPr>
          <w:rFonts w:hint="default" w:ascii="Times New Roman" w:hAnsi="Times New Roman" w:eastAsia="仿宋_GB2312" w:cs="Times New Roman"/>
          <w:sz w:val="32"/>
          <w:szCs w:val="32"/>
          <w:lang w:val="en-US" w:eastAsia="zh-CN"/>
        </w:rPr>
      </w:pPr>
    </w:p>
    <w:p>
      <w:pPr>
        <w:widowControl w:val="0"/>
        <w:wordWrap/>
        <w:adjustRightInd/>
        <w:snapToGrid/>
        <w:spacing w:before="0" w:after="0" w:line="600" w:lineRule="exact"/>
        <w:ind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20</w:t>
      </w:r>
      <w:r>
        <w:rPr>
          <w:rFonts w:hint="eastAsia" w:ascii="Times New Roman" w:hAnsi="Times New Roman" w:cs="Times New Roman"/>
          <w:sz w:val="32"/>
          <w:szCs w:val="32"/>
          <w:lang w:val="en-US" w:eastAsia="zh-CN"/>
        </w:rPr>
        <w:t>21</w:t>
      </w:r>
      <w:bookmarkStart w:id="0" w:name="_GoBack"/>
      <w:bookmarkEnd w:id="0"/>
      <w:r>
        <w:rPr>
          <w:rFonts w:hint="default" w:ascii="Times New Roman" w:hAnsi="Times New Roman" w:eastAsia="仿宋_GB2312" w:cs="Times New Roman"/>
          <w:sz w:val="32"/>
          <w:szCs w:val="32"/>
          <w:lang w:val="en-US" w:eastAsia="zh-CN"/>
        </w:rPr>
        <w:t>年</w:t>
      </w:r>
      <w:r>
        <w:rPr>
          <w:rFonts w:hint="eastAsia" w:ascii="Times New Roman" w:hAnsi="Times New Roman" w:cs="Times New Roman"/>
          <w:sz w:val="32"/>
          <w:szCs w:val="32"/>
          <w:lang w:val="en-US" w:eastAsia="zh-CN"/>
        </w:rPr>
        <w:t>1</w:t>
      </w:r>
      <w:r>
        <w:rPr>
          <w:rFonts w:hint="default" w:ascii="Times New Roman" w:hAnsi="Times New Roman" w:eastAsia="仿宋_GB2312" w:cs="Times New Roman"/>
          <w:sz w:val="32"/>
          <w:szCs w:val="32"/>
          <w:lang w:val="en-US" w:eastAsia="zh-CN"/>
        </w:rPr>
        <w:t>月巩义市公共资源交易代理机构月评价情况表</w:t>
      </w:r>
      <w:r>
        <w:rPr>
          <w:rFonts w:hint="eastAsia" w:ascii="Times New Roman" w:hAnsi="Times New Roman" w:eastAsia="仿宋_GB2312" w:cs="Times New Roman"/>
          <w:sz w:val="32"/>
          <w:szCs w:val="32"/>
          <w:lang w:val="en-US" w:eastAsia="zh-CN"/>
        </w:rPr>
        <w:t>》</w:t>
      </w:r>
    </w:p>
    <w:sectPr>
      <w:footerReference r:id="rId5" w:type="default"/>
      <w:pgSz w:w="11910" w:h="16840"/>
      <w:pgMar w:top="2098" w:right="1531" w:bottom="1984" w:left="1531" w:header="0" w:footer="1389" w:gutter="0"/>
      <w:cols w:space="720" w:num="1"/>
      <w:rtlGutter w:val="0"/>
      <w:docGrid w:linePitch="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Microsoft JhengHei">
    <w:panose1 w:val="020B0604030504040204"/>
    <w:charset w:val="88"/>
    <w:family w:val="auto"/>
    <w:pitch w:val="default"/>
    <w:sig w:usb0="000002A7" w:usb1="28CF4400" w:usb2="00000016" w:usb3="00000000" w:csb0="00100009" w:csb1="00000000"/>
  </w:font>
  <w:font w:name="方正小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w:rPr>
        <w:rFonts w:ascii="仿宋_GB2312" w:hAnsi="仿宋_GB2312" w:eastAsia="仿宋_GB2312" w:cs="仿宋_GB2312"/>
        <w:sz w:val="32"/>
        <w:szCs w:val="32"/>
        <w:lang w:val="en-US" w:eastAsia="en-US" w:bidi="ar-SA"/>
      </w:rPr>
      <mc:AlternateContent>
        <mc:Choice Requires="wps">
          <w:drawing>
            <wp:anchor distT="0" distB="0" distL="114300" distR="114300" simplePos="0" relativeHeight="251659264" behindDoc="1" locked="0" layoutInCell="1" allowOverlap="1">
              <wp:simplePos x="0" y="0"/>
              <wp:positionH relativeFrom="page">
                <wp:posOffset>3422650</wp:posOffset>
              </wp:positionH>
              <wp:positionV relativeFrom="page">
                <wp:posOffset>9669145</wp:posOffset>
              </wp:positionV>
              <wp:extent cx="787400" cy="236855"/>
              <wp:effectExtent l="0" t="0" r="0" b="0"/>
              <wp:wrapNone/>
              <wp:docPr id="2" name="Text Box 2"/>
              <wp:cNvGraphicFramePr/>
              <a:graphic xmlns:a="http://schemas.openxmlformats.org/drawingml/2006/main">
                <a:graphicData uri="http://schemas.microsoft.com/office/word/2010/wordprocessingShape">
                  <wps:wsp>
                    <wps:cNvSpPr txBox="1"/>
                    <wps:spPr>
                      <a:xfrm>
                        <a:off x="0" y="0"/>
                        <a:ext cx="787400" cy="236855"/>
                      </a:xfrm>
                      <a:prstGeom prst="rect">
                        <a:avLst/>
                      </a:prstGeom>
                      <a:noFill/>
                      <a:ln w="9525">
                        <a:noFill/>
                      </a:ln>
                    </wps:spPr>
                    <wps:txbx>
                      <w:txbxContent>
                        <w:p>
                          <w:pPr>
                            <w:spacing w:before="0" w:line="372" w:lineRule="exact"/>
                            <w:ind w:left="20" w:right="0" w:firstLine="0"/>
                            <w:jc w:val="left"/>
                            <w:rPr>
                              <w:rFonts w:hint="default" w:ascii="Times New Roman" w:hAnsi="Times New Roman" w:cs="Times New Roman"/>
                              <w:sz w:val="30"/>
                              <w:szCs w:val="30"/>
                            </w:rPr>
                          </w:pPr>
                          <w:r>
                            <w:rPr>
                              <w:rFonts w:hint="default" w:ascii="Times New Roman" w:hAnsi="Times New Roman" w:cs="Times New Roman"/>
                              <w:sz w:val="30"/>
                              <w:szCs w:val="30"/>
                            </w:rPr>
                            <w:t xml:space="preserve">— </w:t>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w:t>
                          </w:r>
                          <w:r>
                            <w:rPr>
                              <w:rFonts w:hint="default" w:ascii="Times New Roman" w:hAnsi="Times New Roman" w:cs="Times New Roman"/>
                              <w:sz w:val="30"/>
                              <w:szCs w:val="30"/>
                            </w:rPr>
                            <w:fldChar w:fldCharType="end"/>
                          </w:r>
                          <w:r>
                            <w:rPr>
                              <w:rFonts w:hint="default" w:ascii="Times New Roman" w:hAnsi="Times New Roman" w:cs="Times New Roman"/>
                              <w:spacing w:val="72"/>
                              <w:sz w:val="30"/>
                              <w:szCs w:val="30"/>
                            </w:rPr>
                            <w:t xml:space="preserve"> </w:t>
                          </w:r>
                          <w:r>
                            <w:rPr>
                              <w:rFonts w:hint="default" w:ascii="Times New Roman" w:hAnsi="Times New Roman" w:cs="Times New Roman"/>
                              <w:sz w:val="30"/>
                              <w:szCs w:val="30"/>
                            </w:rPr>
                            <w:t>—</w:t>
                          </w:r>
                        </w:p>
                      </w:txbxContent>
                    </wps:txbx>
                    <wps:bodyPr lIns="0" tIns="0" rIns="0" bIns="0" upright="1"/>
                  </wps:wsp>
                </a:graphicData>
              </a:graphic>
            </wp:anchor>
          </w:drawing>
        </mc:Choice>
        <mc:Fallback>
          <w:pict>
            <v:shape id="Text Box 2" o:spid="_x0000_s1026" o:spt="202" type="#_x0000_t202" style="position:absolute;left:0pt;margin-left:269.5pt;margin-top:761.35pt;height:18.65pt;width:62pt;mso-position-horizontal-relative:page;mso-position-vertical-relative:page;z-index:-251657216;mso-width-relative:page;mso-height-relative:page;" filled="f" stroked="f" coordsize="21600,21600" o:gfxdata="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I4GXFTaAAAADQEAAA8AAAAAAAAAAQAgAAAAIgAAAGRycy9kb3ducmV2LnhtbFBLAQIUABQAAAAI&#10;AIdO4kCmFtPnsgEAAHkDAAAOAAAAAAAAAAEAIAAAACkBAABkcnMvZTJvRG9jLnhtbFBLBQYAAAAA&#10;BgAGAFkBAABNBQAAAAA=&#10;">
              <v:fill on="f" focussize="0,0"/>
              <v:stroke on="f"/>
              <v:imagedata o:title=""/>
              <o:lock v:ext="edit" aspectratio="f"/>
              <v:textbox inset="0mm,0mm,0mm,0mm">
                <w:txbxContent>
                  <w:p>
                    <w:pPr>
                      <w:spacing w:before="0" w:line="372" w:lineRule="exact"/>
                      <w:ind w:left="20" w:right="0" w:firstLine="0"/>
                      <w:jc w:val="left"/>
                      <w:rPr>
                        <w:rFonts w:hint="default" w:ascii="Times New Roman" w:hAnsi="Times New Roman" w:cs="Times New Roman"/>
                        <w:sz w:val="30"/>
                        <w:szCs w:val="30"/>
                      </w:rPr>
                    </w:pPr>
                    <w:r>
                      <w:rPr>
                        <w:rFonts w:hint="default" w:ascii="Times New Roman" w:hAnsi="Times New Roman" w:cs="Times New Roman"/>
                        <w:sz w:val="30"/>
                        <w:szCs w:val="30"/>
                      </w:rPr>
                      <w:t xml:space="preserve">— </w:t>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w:t>
                    </w:r>
                    <w:r>
                      <w:rPr>
                        <w:rFonts w:hint="default" w:ascii="Times New Roman" w:hAnsi="Times New Roman" w:cs="Times New Roman"/>
                        <w:sz w:val="30"/>
                        <w:szCs w:val="30"/>
                      </w:rPr>
                      <w:fldChar w:fldCharType="end"/>
                    </w:r>
                    <w:r>
                      <w:rPr>
                        <w:rFonts w:hint="default" w:ascii="Times New Roman" w:hAnsi="Times New Roman" w:cs="Times New Roman"/>
                        <w:spacing w:val="72"/>
                        <w:sz w:val="30"/>
                        <w:szCs w:val="30"/>
                      </w:rPr>
                      <w:t xml:space="preserve"> </w:t>
                    </w:r>
                    <w:r>
                      <w:rPr>
                        <w:rFonts w:hint="default" w:ascii="Times New Roman" w:hAnsi="Times New Roman" w:cs="Times New Roman"/>
                        <w:sz w:val="30"/>
                        <w:szCs w:val="30"/>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drawingGridHorizontalSpacing w:val="110"/>
  <w:displayHorizontalDrawingGridEvery w:val="2"/>
  <w:displayVerticalDrawingGridEvery w:val="1"/>
  <w:characterSpacingControl w:val="doNotCompress"/>
  <w:hdrShapeDefaults>
    <o:shapelayout v:ext="edit">
      <o:idmap v:ext="edit" data="2"/>
    </o:shapelayout>
  </w:hdrShapeDefaults>
  <w:footnotePr>
    <w:footnote w:id="0"/>
    <w:footnote w:id="1"/>
  </w:footnotePr>
  <w:endnotePr>
    <w:endnote w:id="0"/>
    <w:endnote w:id="1"/>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4B3C11"/>
    <w:rsid w:val="02EF127B"/>
    <w:rsid w:val="031E0994"/>
    <w:rsid w:val="04BE2038"/>
    <w:rsid w:val="04C404EF"/>
    <w:rsid w:val="056E6B54"/>
    <w:rsid w:val="07C2743B"/>
    <w:rsid w:val="085B3420"/>
    <w:rsid w:val="0B722252"/>
    <w:rsid w:val="0D7A5045"/>
    <w:rsid w:val="0D973A88"/>
    <w:rsid w:val="0DEA5A8A"/>
    <w:rsid w:val="0F5322CA"/>
    <w:rsid w:val="10B00053"/>
    <w:rsid w:val="11202480"/>
    <w:rsid w:val="150C221C"/>
    <w:rsid w:val="15DF5664"/>
    <w:rsid w:val="1C590C05"/>
    <w:rsid w:val="1E2075B2"/>
    <w:rsid w:val="1FD0745A"/>
    <w:rsid w:val="25702932"/>
    <w:rsid w:val="270471F9"/>
    <w:rsid w:val="279F63AD"/>
    <w:rsid w:val="28B216B6"/>
    <w:rsid w:val="2CD261B8"/>
    <w:rsid w:val="2D583038"/>
    <w:rsid w:val="30385E82"/>
    <w:rsid w:val="31DD32AC"/>
    <w:rsid w:val="330F2C50"/>
    <w:rsid w:val="34770F8F"/>
    <w:rsid w:val="34D42DAE"/>
    <w:rsid w:val="37D0739C"/>
    <w:rsid w:val="39912B8E"/>
    <w:rsid w:val="3B482C47"/>
    <w:rsid w:val="3C1F1E19"/>
    <w:rsid w:val="3C930D42"/>
    <w:rsid w:val="3C996668"/>
    <w:rsid w:val="3D0F205C"/>
    <w:rsid w:val="3D603444"/>
    <w:rsid w:val="3D7859F1"/>
    <w:rsid w:val="41A74E21"/>
    <w:rsid w:val="43C37096"/>
    <w:rsid w:val="47EE6C63"/>
    <w:rsid w:val="48654C38"/>
    <w:rsid w:val="493E4D7B"/>
    <w:rsid w:val="4A0E6A1D"/>
    <w:rsid w:val="4B1827C6"/>
    <w:rsid w:val="4C433CBC"/>
    <w:rsid w:val="50D61546"/>
    <w:rsid w:val="51FF603C"/>
    <w:rsid w:val="53107E65"/>
    <w:rsid w:val="550B7495"/>
    <w:rsid w:val="5667606C"/>
    <w:rsid w:val="56D95135"/>
    <w:rsid w:val="57B62B6F"/>
    <w:rsid w:val="5A0D3300"/>
    <w:rsid w:val="5BFD3006"/>
    <w:rsid w:val="5DEF67C2"/>
    <w:rsid w:val="5E291528"/>
    <w:rsid w:val="5FD754CA"/>
    <w:rsid w:val="61F01F5D"/>
    <w:rsid w:val="65C85BCC"/>
    <w:rsid w:val="664E24FF"/>
    <w:rsid w:val="686E37A6"/>
    <w:rsid w:val="69191400"/>
    <w:rsid w:val="6B7E69C2"/>
    <w:rsid w:val="6CE41A10"/>
    <w:rsid w:val="6E924B47"/>
    <w:rsid w:val="6F144172"/>
    <w:rsid w:val="734E230A"/>
    <w:rsid w:val="740626FD"/>
    <w:rsid w:val="761C0ADE"/>
    <w:rsid w:val="772F040D"/>
    <w:rsid w:val="785A08EA"/>
    <w:rsid w:val="78C40D7D"/>
    <w:rsid w:val="7B0E4F36"/>
    <w:rsid w:val="7DC379F9"/>
    <w:rsid w:val="7DE922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en-US" w:eastAsia="en-US"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11"/>
    </w:pPr>
    <w:rPr>
      <w:rFonts w:ascii="仿宋_GB2312" w:hAnsi="仿宋_GB2312" w:eastAsia="仿宋_GB2312" w:cs="仿宋_GB2312"/>
      <w:sz w:val="32"/>
      <w:szCs w:val="32"/>
    </w:rPr>
  </w:style>
  <w:style w:type="paragraph" w:styleId="3">
    <w:name w:val="footer"/>
    <w:basedOn w:val="1"/>
    <w:unhideWhenUsed/>
    <w:qFormat/>
    <w:uiPriority w:val="99"/>
    <w:pPr>
      <w:tabs>
        <w:tab w:val="center" w:pos="4153"/>
        <w:tab w:val="right" w:pos="8306"/>
      </w:tabs>
      <w:snapToGrid w:val="0"/>
      <w:jc w:val="left"/>
    </w:pPr>
    <w:rPr>
      <w:sz w:val="18"/>
    </w:rPr>
  </w:style>
  <w:style w:type="paragraph" w:customStyle="1" w:styleId="6">
    <w:name w:val="List Paragraph"/>
    <w:basedOn w:val="1"/>
    <w:qFormat/>
    <w:uiPriority w:val="1"/>
  </w:style>
  <w:style w:type="paragraph" w:customStyle="1" w:styleId="7">
    <w:name w:val="Table Paragraph"/>
    <w:basedOn w:val="1"/>
    <w:qFormat/>
    <w:uiPriority w:val="1"/>
  </w:style>
  <w:style w:type="table" w:customStyle="1" w:styleId="8">
    <w:name w:val="Table Normal"/>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0</Pages>
  <Words>0</Words>
  <Characters>0</Characters>
  <Lines>0</Lines>
  <Paragraphs>0</Paragraphs>
  <TotalTime>304</TotalTime>
  <ScaleCrop>false</ScaleCrop>
  <LinksUpToDate>false</LinksUpToDate>
  <CharactersWithSpaces>0</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2019-08-06T07:39:00Z</dcterms:created>
  <dc:creator>FtpDown</dc:creator>
  <cp:lastModifiedBy>Administrator</cp:lastModifiedBy>
  <cp:lastPrinted>2021-03-12T02:00:00Z</cp:lastPrinted>
  <dcterms:modified xsi:type="dcterms:W3CDTF">2021-03-31T01:46:17Z</dcterms:modified>
  <dc:title>舒书记对全会讲话的有关要求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2018-12-27T00:00:00Z</vt:filetime>
  </property>
  <property fmtid="{D5CDD505-2E9C-101B-9397-08002B2CF9AE}" pid="3" name="Creator">
    <vt:lpwstr>WPS 文字</vt:lpwstr>
  </property>
  <property fmtid="{D5CDD505-2E9C-101B-9397-08002B2CF9AE}" pid="4" name="LastSaved">
    <vt:filetime>2019-08-06T00:00:00Z</vt:filetime>
  </property>
  <property fmtid="{D5CDD505-2E9C-101B-9397-08002B2CF9AE}" pid="5" name="KSOProductBuildVer">
    <vt:lpwstr>2052-11.1.0.10359</vt:lpwstr>
  </property>
  <property fmtid="{D5CDD505-2E9C-101B-9397-08002B2CF9AE}" pid="6" name="ICV">
    <vt:lpwstr>6708F9D5148C4F5B935C3E5647CD41B7</vt:lpwstr>
  </property>
</Properties>
</file>