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7F7F7"/>
        <w:wordWrap w:val="0"/>
        <w:spacing w:after="300" w:line="390" w:lineRule="atLeast"/>
        <w:ind w:right="300"/>
        <w:outlineLvl w:val="5"/>
        <w:rPr>
          <w:rFonts w:ascii="微软雅黑" w:hAnsi="微软雅黑" w:eastAsia="微软雅黑" w:cs="Tahoma"/>
          <w:color w:val="3D4B64"/>
          <w:kern w:val="0"/>
          <w:sz w:val="20"/>
          <w:szCs w:val="20"/>
        </w:rPr>
      </w:pPr>
      <w:bookmarkStart w:id="0" w:name="_GoBack"/>
      <w:bookmarkEnd w:id="0"/>
    </w:p>
    <w:tbl>
      <w:tblPr>
        <w:tblStyle w:val="4"/>
        <w:tblW w:w="10122" w:type="dxa"/>
        <w:jc w:val="center"/>
        <w:tblInd w:w="0" w:type="dxa"/>
        <w:tblBorders>
          <w:top w:val="outset" w:color="auto" w:sz="6" w:space="0"/>
          <w:left w:val="none" w:color="auto" w:sz="0" w:space="0"/>
          <w:bottom w:val="none" w:color="auto" w:sz="0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3498"/>
        <w:gridCol w:w="1490"/>
        <w:gridCol w:w="3827"/>
      </w:tblGrid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666666" w:sz="8" w:space="0"/>
              <w:right w:val="single" w:color="666666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88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标的编号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挂牌价格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ind w:firstLine="720" w:firstLineChars="300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元/年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公告媒体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巩义市公共资源交易中心网站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挂牌公告期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20个工作日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挂牌起始日期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 xml:space="preserve">    年  月   日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挂牌期满日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 xml:space="preserve">    年   月   日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标的所在地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标的类型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资产租赁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01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租赁标的概况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租赁标的</w:t>
            </w: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租赁标的名称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注册地 （住所）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目前现状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ind w:firstLine="1440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租赁资产概况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line="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房屋建筑面积：      平方米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评估情况</w:t>
            </w:r>
          </w:p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评估机构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核准（备案）机构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巩义市财政局国有资产管理科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核准（备案）日期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评估基准日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租赁标的对应评估值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            元/年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4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重大事项揭示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ind w:firstLine="270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1、标的是否存在抵押、质押、担保等限制性权利：       是   否 √</w:t>
            </w:r>
          </w:p>
          <w:p>
            <w:pPr>
              <w:widowControl/>
              <w:spacing w:line="390" w:lineRule="atLeast"/>
              <w:ind w:firstLine="270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2、标的是否存在所有权争议： 是   否√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101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出租方概况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出租方  基本情况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出租方名称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注册地（住所）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注册资（万元）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D4B64"/>
                <w:kern w:val="0"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经济类别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hint="eastAsia"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（统一社会信用代码）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经营规模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 xml:space="preserve">      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01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交易条件与承租方资格条件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hint="eastAsia"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交易条件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挂牌价格（元）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         元/年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价款支付方式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 一次性付款/年</w:t>
            </w:r>
            <w:r>
              <w:rPr>
                <w:rFonts w:hint="eastAsia" w:ascii="宋体" w:hAnsi="宋体" w:eastAsia="宋体" w:cs="Tahoma"/>
                <w:b/>
                <w:color w:val="FF0000"/>
                <w:kern w:val="0"/>
                <w:sz w:val="24"/>
                <w:szCs w:val="24"/>
                <w:shd w:val="clear" w:color="auto" w:fill="FFFFFF"/>
              </w:rPr>
              <w:t>（可添加）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与出租相关其他条件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ind w:left="360" w:hanging="360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 当年租金在合同签订之日一次性支付</w:t>
            </w:r>
          </w:p>
          <w:p>
            <w:pPr>
              <w:widowControl/>
              <w:spacing w:line="390" w:lineRule="atLeast"/>
              <w:ind w:left="360" w:hanging="360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ahoma"/>
                <w:b/>
                <w:color w:val="FF0000"/>
                <w:kern w:val="0"/>
                <w:sz w:val="24"/>
                <w:szCs w:val="24"/>
                <w:shd w:val="clear" w:color="auto" w:fill="FFFFFF"/>
              </w:rPr>
              <w:t>（可添加）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  <w:jc w:val="center"/>
        </w:trPr>
        <w:tc>
          <w:tcPr>
            <w:tcW w:w="4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承租方资格条件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（1）具有良好的财务状况和支付能力；</w:t>
            </w:r>
          </w:p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（2）具有良好的商业信用；</w:t>
            </w:r>
          </w:p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（3）如承租方为自然人，应当具有完全民事行为能力；</w:t>
            </w:r>
          </w:p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（4）国家法律、行政法规规定的其他条件。</w:t>
            </w:r>
          </w:p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Calibri" w:hAnsi="Calibri" w:eastAsia="微软雅黑" w:cs="Tahom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color w:val="FF0000"/>
                <w:kern w:val="0"/>
                <w:sz w:val="24"/>
                <w:szCs w:val="24"/>
                <w:shd w:val="clear" w:color="auto" w:fill="FFFFFF"/>
              </w:rPr>
              <w:t>（可添加）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保证金</w:t>
            </w:r>
          </w:p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设定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交纳金额及时间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元（公告期内）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收款单位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巩义市公共资源交易中心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开户银行及银行账号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开户银行：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 xml:space="preserve">        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行号：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保证金账号 ：</w:t>
            </w:r>
            <w:r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1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挂牌信息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挂牌公告期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自     年   月    日至   年   月    日</w:t>
            </w:r>
          </w:p>
          <w:p>
            <w:pPr>
              <w:widowControl/>
              <w:spacing w:line="390" w:lineRule="atLeast"/>
              <w:jc w:val="center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下午17时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4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挂牌期满后，如未征集到意向承租方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变更公告内容,重新申请发布公告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4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交易方式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挂牌期满征集到符合条件的意向承租方，采用拍卖方式确定承租方。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1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ind w:firstLine="360"/>
              <w:jc w:val="left"/>
              <w:rPr>
                <w:rFonts w:hint="eastAsia"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意向承租方保证遵守我国法律、法规及相关规定公平竞买，按规定及时签署成交文书、国有产权租赁合同和按时付清成交价款。未按规定签署成交文书或未按规定签署国有产权租赁合同、未按约定时间付清成交价款的，均视为违约，其所交保证金不予返还。</w:t>
            </w:r>
          </w:p>
          <w:p>
            <w:pPr>
              <w:widowControl/>
              <w:shd w:val="clear" w:color="auto" w:fill="FFFFFF"/>
              <w:spacing w:line="390" w:lineRule="atLeast"/>
              <w:ind w:firstLine="360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有意承租者请在公告期内缴纳保证金    元整（以银行到账为准），</w:t>
            </w: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保证金必须以转账形式缴入指定账号，支付宝、微信、现金存入无效。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逾期未缴纳保证金的，视为放弃意向承租。</w:t>
            </w:r>
          </w:p>
          <w:p>
            <w:pPr>
              <w:widowControl/>
              <w:shd w:val="clear" w:color="auto" w:fill="FFFFFF"/>
              <w:spacing w:line="390" w:lineRule="atLeast"/>
              <w:ind w:firstLine="360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  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联系人：张先生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联系电话：0371-69580310   0371-64351566</w:t>
            </w:r>
          </w:p>
          <w:p>
            <w:pPr>
              <w:widowControl/>
              <w:spacing w:line="390" w:lineRule="atLeas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 xml:space="preserve">                                      </w:t>
            </w:r>
          </w:p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项目联系人：</w:t>
            </w:r>
            <w:r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Calibri" w:hAnsi="Calibri" w:eastAsia="微软雅黑" w:cs="Tahoma"/>
                <w:color w:val="3D4B6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  <w:shd w:val="clear" w:color="auto" w:fill="FFFFFF"/>
              </w:rPr>
              <w:t>联系电话：</w:t>
            </w:r>
          </w:p>
        </w:tc>
      </w:tr>
    </w:tbl>
    <w:p>
      <w:pPr>
        <w:widowControl/>
        <w:shd w:val="clear" w:color="auto" w:fill="F7F7F7"/>
        <w:wordWrap w:val="0"/>
        <w:spacing w:line="450" w:lineRule="atLeast"/>
        <w:jc w:val="left"/>
        <w:rPr>
          <w:rFonts w:hint="eastAsia" w:ascii="Calibri" w:hAnsi="Calibri" w:eastAsia="微软雅黑" w:cs="Tahoma"/>
          <w:color w:val="FFFFFF"/>
          <w:kern w:val="0"/>
          <w:szCs w:val="21"/>
        </w:rPr>
      </w:pPr>
      <w:r>
        <w:rPr>
          <w:rFonts w:ascii="Calibri" w:hAnsi="Calibri" w:eastAsia="微软雅黑" w:cs="Tahoma"/>
          <w:color w:val="FFFFFF"/>
          <w:kern w:val="0"/>
          <w:szCs w:val="21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F7"/>
    <w:rsid w:val="000B1057"/>
    <w:rsid w:val="003A34C8"/>
    <w:rsid w:val="003E53CA"/>
    <w:rsid w:val="00516BAD"/>
    <w:rsid w:val="00827BF7"/>
    <w:rsid w:val="00A164E7"/>
    <w:rsid w:val="00A1727D"/>
    <w:rsid w:val="00BC5C50"/>
    <w:rsid w:val="00EB5AD8"/>
    <w:rsid w:val="59E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kern w:val="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6 Char"/>
    <w:basedOn w:val="5"/>
    <w:link w:val="2"/>
    <w:uiPriority w:val="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1014</Characters>
  <Lines>8</Lines>
  <Paragraphs>2</Paragraphs>
  <TotalTime>30</TotalTime>
  <ScaleCrop>false</ScaleCrop>
  <LinksUpToDate>false</LinksUpToDate>
  <CharactersWithSpaces>1189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2019-04-23T02:27:00Z</dcterms:created>
  <dc:creator>电子评标室-9</dc:creator>
  <cp:lastModifiedBy>Lenovo</cp:lastModifiedBy>
  <dcterms:modified xsi:type="dcterms:W3CDTF">2019-04-25T03:35:13Z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