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pStyle w:val="2"/>
        <w:spacing w:before="7"/>
        <w:ind w:left="0"/>
        <w:rPr>
          <w:rFonts w:ascii="Times New Roman"/>
          <w:sz w:val="28"/>
        </w:rPr>
      </w:pPr>
    </w:p>
    <w:p>
      <w:pPr>
        <w:tabs>
          <w:tab w:val="left" w:pos="2164"/>
          <w:tab w:val="left" w:pos="4329"/>
          <w:tab w:val="left" w:pos="6494"/>
        </w:tabs>
        <w:spacing w:before="0" w:line="2087" w:lineRule="exact"/>
        <w:ind w:left="0" w:right="169" w:firstLine="0"/>
        <w:jc w:val="center"/>
        <w:rPr>
          <w:rFonts w:hint="eastAsia" w:ascii="Microsoft JhengHei" w:eastAsia="Microsoft JhengHei"/>
          <w:b/>
          <w:sz w:val="144"/>
        </w:rPr>
      </w:pPr>
      <w:r>
        <w:rPr>
          <w:rFonts w:hint="eastAsia" w:ascii="Microsoft JhengHei" w:eastAsia="Microsoft JhengHei"/>
          <w:b/>
          <w:color w:val="FF0000"/>
          <w:sz w:val="144"/>
        </w:rPr>
        <w:t>工</w:t>
      </w:r>
      <w:r>
        <w:rPr>
          <w:rFonts w:hint="eastAsia" w:ascii="Microsoft JhengHei" w:eastAsia="Microsoft JhengHei"/>
          <w:b/>
          <w:color w:val="FF0000"/>
          <w:sz w:val="144"/>
        </w:rPr>
        <w:tab/>
      </w:r>
      <w:r>
        <w:rPr>
          <w:rFonts w:hint="eastAsia" w:ascii="Microsoft JhengHei" w:eastAsia="Microsoft JhengHei"/>
          <w:b/>
          <w:color w:val="FF0000"/>
          <w:sz w:val="144"/>
        </w:rPr>
        <w:t>作</w:t>
      </w:r>
      <w:r>
        <w:rPr>
          <w:rFonts w:hint="eastAsia" w:ascii="Microsoft JhengHei" w:eastAsia="Microsoft JhengHei"/>
          <w:b/>
          <w:color w:val="FF0000"/>
          <w:sz w:val="144"/>
        </w:rPr>
        <w:tab/>
      </w:r>
      <w:r>
        <w:rPr>
          <w:rFonts w:hint="eastAsia" w:ascii="Microsoft JhengHei" w:eastAsia="Microsoft JhengHei"/>
          <w:b/>
          <w:color w:val="FF0000"/>
          <w:sz w:val="144"/>
        </w:rPr>
        <w:t>通</w:t>
      </w:r>
      <w:r>
        <w:rPr>
          <w:rFonts w:hint="eastAsia" w:ascii="Microsoft JhengHei" w:eastAsia="Microsoft JhengHei"/>
          <w:b/>
          <w:color w:val="FF0000"/>
          <w:sz w:val="144"/>
        </w:rPr>
        <w:tab/>
      </w:r>
      <w:r>
        <w:rPr>
          <w:rFonts w:hint="eastAsia" w:ascii="Microsoft JhengHei" w:eastAsia="Microsoft JhengHei"/>
          <w:b/>
          <w:color w:val="FF0000"/>
          <w:sz w:val="144"/>
        </w:rPr>
        <w:t>报</w:t>
      </w:r>
    </w:p>
    <w:p>
      <w:pPr>
        <w:pStyle w:val="2"/>
        <w:spacing w:before="385"/>
        <w:ind w:left="0" w:right="167"/>
        <w:jc w:val="center"/>
      </w:pPr>
      <w:r>
        <w:t>第</w:t>
      </w:r>
      <w:r>
        <w:rPr>
          <w:rFonts w:hint="eastAsia"/>
          <w:lang w:val="en-US" w:eastAsia="zh-CN"/>
        </w:rPr>
        <w:t xml:space="preserve"> 二 </w:t>
      </w:r>
      <w:r>
        <w:t>期</w:t>
      </w:r>
    </w:p>
    <w:p>
      <w:pPr>
        <w:pStyle w:val="2"/>
        <w:spacing w:before="1"/>
        <w:ind w:left="0"/>
        <w:rPr>
          <w:sz w:val="46"/>
        </w:rPr>
      </w:pPr>
    </w:p>
    <w:p>
      <w:pPr>
        <w:pStyle w:val="2"/>
        <w:tabs>
          <w:tab w:val="left" w:pos="5119"/>
        </w:tabs>
        <w:ind w:left="0" w:right="165"/>
        <w:jc w:val="both"/>
      </w:pPr>
      <w:r>
        <w:rPr>
          <w:rFonts w:ascii="仿宋_GB2312" w:hAnsi="仿宋_GB2312" w:eastAsia="仿宋_GB2312" w:cs="仿宋_GB2312"/>
          <w:color w:val="FF0000"/>
          <w:sz w:val="32"/>
          <w:szCs w:val="32"/>
          <w:lang w:val="en-US" w:eastAsia="en-US" w:bidi="ar-SA"/>
        </w:rPr>
        <mc:AlternateContent>
          <mc:Choice Requires="wps">
            <w:drawing>
              <wp:anchor distT="0" distB="0" distL="114300" distR="114300" simplePos="0" relativeHeight="251658240" behindDoc="1" locked="0" layoutInCell="1" allowOverlap="1">
                <wp:simplePos x="0" y="0"/>
                <wp:positionH relativeFrom="page">
                  <wp:posOffset>972185</wp:posOffset>
                </wp:positionH>
                <wp:positionV relativeFrom="paragraph">
                  <wp:posOffset>231140</wp:posOffset>
                </wp:positionV>
                <wp:extent cx="5687695" cy="635"/>
                <wp:effectExtent l="0" t="0" r="0" b="0"/>
                <wp:wrapNone/>
                <wp:docPr id="1" name="Line 2"/>
                <wp:cNvGraphicFramePr/>
                <a:graphic xmlns:a="http://schemas.openxmlformats.org/drawingml/2006/main">
                  <a:graphicData uri="http://schemas.microsoft.com/office/word/2010/wordprocessingShape">
                    <wps:wsp>
                      <wps:cNvCnPr/>
                      <wps:spPr>
                        <a:xfrm>
                          <a:off x="0" y="0"/>
                          <a:ext cx="5687695" cy="635"/>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margin-left:76.55pt;margin-top:18.2pt;height:0.05pt;width:447.85pt;mso-position-horizontal-relative:page;z-index:-251658240;mso-width-relative:page;mso-height-relative:page;" filled="f" stroked="t" coordsize="21600,21600" o:gfxdata="UEsDBAoAAAAAAIdO4kAAAAAAAAAAAAAAAAAEAAAAZHJzL1BLAwQUAAAACACHTuJA7XucDtcAAAAK&#10;AQAADwAAAGRycy9kb3ducmV2LnhtbE2PwU7DMBBE70j8g7WVuFE7tI2qEKdCCC5wolSVuLnxkqSJ&#10;1yF20/L3bE70OLNPszP55uI6MeIQGk8akrkCgVR621ClYff5er8GEaIhazpPqOEXA2yK25vcZNaf&#10;6QPHbawEh1DIjIY6xj6TMpQ1OhPmvkfi27cfnIksh0rawZw53HXyQalUOtMQf6hNj881lu325DTE&#10;9Bj3Nv15a5Ndu/9S72pUTy9a380S9Qgi4iX+wzDV5+pQcKeDP5ENomO9WiSMalikSxAToJZrHnOY&#10;nBXIIpfXE4o/UEsDBBQAAAAIAIdO4kArTaSB3gEAANsDAAAOAAAAZHJzL2Uyb0RvYy54bWytU02P&#10;0zAQvSPxHyzfadqilt2o6R62lMsKKgE/YGo7iSV/yeM27b9n7IQuLJceyMEZe8Zv5r0Zb54u1rCz&#10;iqi9a/hiNudMOeGldl3Df/7Yf3jgDBM4CcY71fCrQv60ff9uM4RaLX3vjVSREYjDeggN71MKdVWh&#10;6JUFnPmgHDlbHy0k2saukhEGQremWs7n62rwUYbohUKk093o5BNivAfQt60WaufFySqXRtSoDCSi&#10;hL0OyLel2rZVIn1rW1SJmYYT01RWSkL2Ma/VdgN1FyH0WkwlwD0lvOFkQTtKeoPaQQJ2ivofKKtF&#10;9OjbNBPeViORogixWMzfaPO9h6AKF5Iaw010/H+w4uv5EJmWNAmcObDU8BftFFtmZYaANQU8u0Oc&#10;dhgOMdO8tNHmPxFgl6Lm9aamuiQm6HC1fvi0flxxJsi3/rjKiNXr1RAxfVHesmw03FDWoiCcXzCN&#10;ob9Dcibj2NDwx9UyAwLNXUv9JtMGqh1dV+6iN1rutTH5Bsbu+GwiOwP1fr+f0zeV8FdYTrID7Me4&#10;4sphUPcK5GcnWboGUsXRY+C5BKskZ0bR28lWiUygzT2RxN44EiHrOiqZraOXV+rBKUTd9aTEolSZ&#10;PdTzItk0n3mo/twXpNc3uf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7XucDtcAAAAKAQAADwAA&#10;AAAAAAABACAAAAAiAAAAZHJzL2Rvd25yZXYueG1sUEsBAhQAFAAAAAgAh07iQCtNpIHeAQAA2wMA&#10;AA4AAAAAAAAAAQAgAAAAJgEAAGRycy9lMm9Eb2MueG1sUEsFBgAAAAAGAAYAWQEAAHYFAAAAAA==&#10;">
                <v:fill on="f" focussize="0,0"/>
                <v:stroke color="#FF0000" joinstyle="round"/>
                <v:imagedata o:title=""/>
                <o:lock v:ext="edit" aspectratio="f"/>
              </v:line>
            </w:pict>
          </mc:Fallback>
        </mc:AlternateContent>
      </w:r>
      <w:r>
        <w:rPr>
          <w:rFonts w:hint="eastAsia"/>
          <w:color w:val="FF0000"/>
          <w:lang w:val="en-US" w:eastAsia="zh-CN"/>
        </w:rPr>
        <w:t xml:space="preserve">  </w:t>
      </w:r>
      <w:r>
        <w:rPr>
          <w:rFonts w:hint="eastAsia"/>
          <w:color w:val="000000"/>
          <w:lang w:val="en-US" w:eastAsia="zh-CN"/>
        </w:rPr>
        <w:t>巩义市公共资源交易中心</w:t>
      </w:r>
      <w:r>
        <w:rPr>
          <w:rFonts w:hint="eastAsia"/>
          <w:color w:val="FF0000"/>
          <w:lang w:val="en-US" w:eastAsia="zh-CN"/>
        </w:rPr>
        <w:t xml:space="preserve">           </w:t>
      </w:r>
      <w:r>
        <w:rPr>
          <w:color w:val="000000"/>
          <w:spacing w:val="41"/>
        </w:rPr>
        <w:t>二</w:t>
      </w:r>
      <w:r>
        <w:rPr>
          <w:rFonts w:ascii="Times New Roman" w:eastAsia="Times New Roman"/>
          <w:color w:val="000000"/>
        </w:rPr>
        <w:t>O</w:t>
      </w:r>
      <w:r>
        <w:rPr>
          <w:rFonts w:hint="eastAsia" w:ascii="Times New Roman" w:eastAsia="宋体"/>
          <w:color w:val="000000"/>
          <w:lang w:val="en-US" w:eastAsia="zh-CN"/>
        </w:rPr>
        <w:t xml:space="preserve"> </w:t>
      </w:r>
      <w:r>
        <w:rPr>
          <w:color w:val="000000"/>
          <w:spacing w:val="41"/>
        </w:rPr>
        <w:t>二</w:t>
      </w:r>
      <w:r>
        <w:rPr>
          <w:rFonts w:hint="eastAsia"/>
          <w:color w:val="000000"/>
          <w:spacing w:val="41"/>
          <w:lang w:val="en-US" w:eastAsia="zh-CN"/>
        </w:rPr>
        <w:t>一</w:t>
      </w:r>
      <w:r>
        <w:rPr>
          <w:rFonts w:hint="eastAsia" w:ascii="Times New Roman" w:eastAsia="宋体"/>
          <w:color w:val="000000"/>
          <w:lang w:val="en-US" w:eastAsia="zh-CN"/>
        </w:rPr>
        <w:t xml:space="preserve"> </w:t>
      </w:r>
      <w:r>
        <w:rPr>
          <w:color w:val="000000"/>
        </w:rPr>
        <w:t>年</w:t>
      </w:r>
      <w:r>
        <w:rPr>
          <w:rFonts w:hint="eastAsia"/>
          <w:color w:val="000000"/>
          <w:lang w:val="en-US" w:eastAsia="zh-CN"/>
        </w:rPr>
        <w:t>三</w:t>
      </w:r>
      <w:r>
        <w:rPr>
          <w:color w:val="000000"/>
        </w:rPr>
        <w:t>月</w:t>
      </w:r>
      <w:r>
        <w:rPr>
          <w:rFonts w:hint="eastAsia"/>
          <w:color w:val="000000"/>
          <w:lang w:val="en-US" w:eastAsia="zh-CN"/>
        </w:rPr>
        <w:t>四</w:t>
      </w:r>
      <w:r>
        <w:rPr>
          <w:color w:val="000000"/>
        </w:rPr>
        <w:t>日</w:t>
      </w:r>
    </w:p>
    <w:p>
      <w:pPr>
        <w:pStyle w:val="2"/>
        <w:widowControl w:val="0"/>
        <w:wordWrap/>
        <w:adjustRightInd/>
        <w:snapToGrid/>
        <w:spacing w:before="0" w:after="0" w:line="560" w:lineRule="exact"/>
        <w:ind w:left="0"/>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pacing w:val="-5"/>
          <w:sz w:val="44"/>
          <w:szCs w:val="44"/>
        </w:rPr>
      </w:pPr>
      <w:r>
        <w:rPr>
          <w:rFonts w:hint="eastAsia" w:ascii="方正小标宋简体" w:hAnsi="方正小标宋简体" w:eastAsia="方正小标宋简体" w:cs="方正小标宋简体"/>
          <w:b w:val="0"/>
          <w:bCs w:val="0"/>
          <w:spacing w:val="-5"/>
          <w:sz w:val="44"/>
          <w:szCs w:val="44"/>
          <w:lang w:val="en-US" w:eastAsia="zh-CN"/>
        </w:rPr>
        <w:t>2021</w:t>
      </w:r>
      <w:r>
        <w:rPr>
          <w:rFonts w:hint="eastAsia" w:ascii="方正小标宋简体" w:hAnsi="方正小标宋简体" w:eastAsia="方正小标宋简体" w:cs="方正小标宋简体"/>
          <w:b w:val="0"/>
          <w:bCs w:val="0"/>
          <w:spacing w:val="-5"/>
          <w:sz w:val="44"/>
          <w:szCs w:val="44"/>
        </w:rPr>
        <w:t>年</w:t>
      </w:r>
      <w:r>
        <w:rPr>
          <w:rFonts w:hint="eastAsia" w:ascii="方正小标宋简体" w:hAnsi="方正小标宋简体" w:eastAsia="方正小标宋简体" w:cs="方正小标宋简体"/>
          <w:b w:val="0"/>
          <w:bCs w:val="0"/>
          <w:spacing w:val="-5"/>
          <w:sz w:val="44"/>
          <w:szCs w:val="44"/>
          <w:lang w:val="en-US" w:eastAsia="zh-CN"/>
        </w:rPr>
        <w:t>2月份</w:t>
      </w:r>
      <w:r>
        <w:rPr>
          <w:rFonts w:hint="eastAsia" w:ascii="方正小标宋简体" w:hAnsi="方正小标宋简体" w:eastAsia="方正小标宋简体" w:cs="方正小标宋简体"/>
          <w:b w:val="0"/>
          <w:bCs w:val="0"/>
          <w:spacing w:val="-5"/>
          <w:sz w:val="44"/>
          <w:szCs w:val="44"/>
        </w:rPr>
        <w:t>代理机构场内服务行为</w:t>
      </w:r>
    </w:p>
    <w:p>
      <w:pPr>
        <w:widowControl w:val="0"/>
        <w:wordWrap/>
        <w:adjustRightInd/>
        <w:snapToGrid/>
        <w:spacing w:before="0" w:after="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pacing w:val="-5"/>
          <w:sz w:val="44"/>
          <w:szCs w:val="44"/>
        </w:rPr>
        <w:t>考评情况</w:t>
      </w:r>
      <w:r>
        <w:rPr>
          <w:rFonts w:hint="eastAsia" w:ascii="方正小标宋简体" w:hAnsi="方正小标宋简体" w:eastAsia="方正小标宋简体" w:cs="方正小标宋简体"/>
          <w:b w:val="0"/>
          <w:bCs w:val="0"/>
          <w:sz w:val="44"/>
          <w:szCs w:val="44"/>
        </w:rPr>
        <w:t>通报</w:t>
      </w:r>
    </w:p>
    <w:p>
      <w:pPr>
        <w:pStyle w:val="2"/>
        <w:widowControl w:val="0"/>
        <w:wordWrap/>
        <w:adjustRightInd/>
        <w:snapToGrid/>
        <w:spacing w:before="0" w:after="0" w:line="560" w:lineRule="exact"/>
        <w:ind w:left="0"/>
        <w:jc w:val="center"/>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600" w:lineRule="exact"/>
        <w:ind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为进一步加强对巩义市公共资源交易平台代理机构的管理，规范代理机构行为，提高代理服务质量，</w:t>
      </w:r>
      <w:r>
        <w:rPr>
          <w:rFonts w:hint="default" w:ascii="Times New Roman" w:hAnsi="Times New Roman" w:eastAsia="仿宋_GB2312" w:cs="Times New Roman"/>
          <w:sz w:val="32"/>
          <w:szCs w:val="32"/>
          <w:lang w:val="en-US" w:eastAsia="zh-CN"/>
        </w:rPr>
        <w:t>根据《巩义市公共资源交易进场代理机构评价细则（试行）》（巩交易〔20</w:t>
      </w:r>
      <w:r>
        <w:rPr>
          <w:rFonts w:hint="eastAsia" w:ascii="Times New Roman" w:hAnsi="Times New Roman" w:cs="Times New Roman"/>
          <w:sz w:val="32"/>
          <w:szCs w:val="32"/>
          <w:lang w:val="en-US" w:eastAsia="zh-CN"/>
        </w:rPr>
        <w:t>20</w:t>
      </w:r>
      <w:r>
        <w:rPr>
          <w:rFonts w:hint="default" w:ascii="Times New Roman" w:hAnsi="Times New Roman" w:eastAsia="仿宋_GB2312" w:cs="Times New Roman"/>
          <w:sz w:val="32"/>
          <w:szCs w:val="32"/>
          <w:lang w:val="en-US" w:eastAsia="zh-CN"/>
        </w:rPr>
        <w:t>〕</w:t>
      </w:r>
      <w:r>
        <w:rPr>
          <w:rFonts w:hint="eastAsia" w:ascii="Times New Roman" w:hAnsi="Times New Roman" w:cs="Times New Roman"/>
          <w:sz w:val="32"/>
          <w:szCs w:val="32"/>
          <w:lang w:val="en-US" w:eastAsia="zh-CN"/>
        </w:rPr>
        <w:t>19</w:t>
      </w:r>
      <w:r>
        <w:rPr>
          <w:rFonts w:hint="default" w:ascii="Times New Roman" w:hAnsi="Times New Roman" w:eastAsia="仿宋_GB2312" w:cs="Times New Roman"/>
          <w:sz w:val="32"/>
          <w:szCs w:val="32"/>
          <w:lang w:val="en-US" w:eastAsia="zh-CN"/>
        </w:rPr>
        <w:t>号）规定，市公共资源交易中心对</w:t>
      </w:r>
      <w:r>
        <w:rPr>
          <w:rFonts w:hint="eastAsia" w:ascii="Times New Roman" w:hAnsi="Times New Roman" w:cs="Times New Roman"/>
          <w:sz w:val="32"/>
          <w:szCs w:val="32"/>
          <w:lang w:val="en-US" w:eastAsia="zh-CN"/>
        </w:rPr>
        <w:t>2</w:t>
      </w:r>
      <w:r>
        <w:rPr>
          <w:rFonts w:hint="default" w:ascii="Times New Roman" w:hAnsi="Times New Roman" w:eastAsia="仿宋_GB2312" w:cs="Times New Roman"/>
          <w:sz w:val="32"/>
          <w:szCs w:val="32"/>
          <w:lang w:val="en-US" w:eastAsia="zh-CN"/>
        </w:rPr>
        <w:t>月份进入中心开展公共资源交易代理服务的</w:t>
      </w:r>
      <w:r>
        <w:rPr>
          <w:rFonts w:hint="eastAsia" w:ascii="Times New Roman" w:hAnsi="Times New Roman" w:cs="Times New Roman"/>
          <w:sz w:val="32"/>
          <w:szCs w:val="32"/>
          <w:lang w:val="en-US" w:eastAsia="zh-CN"/>
        </w:rPr>
        <w:t>代理</w:t>
      </w:r>
      <w:r>
        <w:rPr>
          <w:rFonts w:hint="default" w:ascii="Times New Roman" w:hAnsi="Times New Roman" w:eastAsia="仿宋_GB2312" w:cs="Times New Roman"/>
          <w:sz w:val="32"/>
          <w:szCs w:val="32"/>
          <w:lang w:val="en-US" w:eastAsia="zh-CN"/>
        </w:rPr>
        <w:t>机构</w:t>
      </w:r>
      <w:r>
        <w:rPr>
          <w:rFonts w:hint="eastAsia" w:ascii="Times New Roman" w:hAnsi="Times New Roman" w:eastAsia="仿宋_GB2312" w:cs="Times New Roman"/>
          <w:sz w:val="32"/>
          <w:szCs w:val="32"/>
          <w:lang w:val="en-US" w:eastAsia="zh-CN"/>
        </w:rPr>
        <w:t>进行了</w:t>
      </w:r>
      <w:r>
        <w:rPr>
          <w:rFonts w:hint="eastAsia" w:ascii="Times New Roman" w:hAnsi="Times New Roman" w:cs="Times New Roman"/>
          <w:sz w:val="32"/>
          <w:szCs w:val="32"/>
          <w:lang w:val="en-US" w:eastAsia="zh-CN"/>
        </w:rPr>
        <w:t>综合</w:t>
      </w:r>
      <w:r>
        <w:rPr>
          <w:rFonts w:hint="default" w:ascii="Times New Roman" w:hAnsi="Times New Roman" w:eastAsia="仿宋_GB2312" w:cs="Times New Roman"/>
          <w:sz w:val="32"/>
          <w:szCs w:val="32"/>
          <w:lang w:val="en-US" w:eastAsia="zh-CN"/>
        </w:rPr>
        <w:t>考评，现将考评情况通报如下：</w:t>
      </w:r>
    </w:p>
    <w:p>
      <w:pPr>
        <w:widowControl w:val="0"/>
        <w:wordWrap/>
        <w:adjustRightInd/>
        <w:snapToGrid/>
        <w:spacing w:before="0" w:after="0" w:line="600" w:lineRule="exact"/>
        <w:ind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2</w:t>
      </w:r>
      <w:r>
        <w:rPr>
          <w:rFonts w:hint="default" w:ascii="Times New Roman" w:hAnsi="Times New Roman" w:eastAsia="仿宋_GB2312" w:cs="Times New Roman"/>
          <w:sz w:val="32"/>
          <w:szCs w:val="32"/>
          <w:lang w:val="en-US" w:eastAsia="zh-CN"/>
        </w:rPr>
        <w:t>月份共有</w:t>
      </w:r>
      <w:r>
        <w:rPr>
          <w:rFonts w:hint="eastAsia" w:ascii="Times New Roman" w:hAnsi="Times New Roman" w:cs="Times New Roman"/>
          <w:sz w:val="32"/>
          <w:szCs w:val="32"/>
          <w:lang w:val="en-US" w:eastAsia="zh-CN"/>
        </w:rPr>
        <w:t>19</w:t>
      </w:r>
      <w:r>
        <w:rPr>
          <w:rFonts w:hint="default" w:ascii="Times New Roman" w:hAnsi="Times New Roman" w:eastAsia="仿宋_GB2312" w:cs="Times New Roman"/>
          <w:sz w:val="32"/>
          <w:szCs w:val="32"/>
          <w:lang w:val="en-US" w:eastAsia="zh-CN"/>
        </w:rPr>
        <w:t>家代理机构进入中心</w:t>
      </w:r>
      <w:r>
        <w:rPr>
          <w:rFonts w:hint="eastAsia" w:ascii="Times New Roman" w:hAnsi="Times New Roman" w:cs="Times New Roman"/>
          <w:sz w:val="32"/>
          <w:szCs w:val="32"/>
          <w:lang w:val="en-US" w:eastAsia="zh-CN"/>
        </w:rPr>
        <w:t>平台</w:t>
      </w:r>
      <w:r>
        <w:rPr>
          <w:rFonts w:hint="default" w:ascii="Times New Roman" w:hAnsi="Times New Roman" w:eastAsia="仿宋_GB2312" w:cs="Times New Roman"/>
          <w:sz w:val="32"/>
          <w:szCs w:val="32"/>
          <w:lang w:val="en-US" w:eastAsia="zh-CN"/>
        </w:rPr>
        <w:t>开展进场交易项目</w:t>
      </w:r>
      <w:r>
        <w:rPr>
          <w:rFonts w:hint="eastAsia" w:ascii="Times New Roman" w:hAnsi="Times New Roman" w:cs="Times New Roman"/>
          <w:sz w:val="32"/>
          <w:szCs w:val="32"/>
          <w:lang w:val="en-US" w:eastAsia="zh-CN"/>
        </w:rPr>
        <w:t>代理业务</w:t>
      </w:r>
      <w:r>
        <w:rPr>
          <w:rFonts w:hint="default" w:ascii="Times New Roman" w:hAnsi="Times New Roman" w:eastAsia="仿宋_GB2312" w:cs="Times New Roman"/>
          <w:sz w:val="32"/>
          <w:szCs w:val="32"/>
          <w:lang w:val="en-US" w:eastAsia="zh-CN"/>
        </w:rPr>
        <w:t>，整体开标过程组织规范，</w:t>
      </w:r>
      <w:r>
        <w:rPr>
          <w:rFonts w:hint="eastAsia" w:ascii="Times New Roman" w:hAnsi="Times New Roman" w:cs="Times New Roman"/>
          <w:sz w:val="32"/>
          <w:szCs w:val="32"/>
          <w:lang w:val="en-US" w:eastAsia="zh-CN"/>
        </w:rPr>
        <w:t>服务态度良好</w:t>
      </w:r>
      <w:r>
        <w:rPr>
          <w:rFonts w:hint="default" w:ascii="Times New Roman" w:hAnsi="Times New Roman" w:eastAsia="仿宋_GB2312" w:cs="Times New Roman"/>
          <w:sz w:val="32"/>
          <w:szCs w:val="32"/>
          <w:lang w:val="en-US" w:eastAsia="zh-CN"/>
        </w:rPr>
        <w:t>，</w:t>
      </w:r>
      <w:r>
        <w:rPr>
          <w:rFonts w:hint="eastAsia" w:ascii="Times New Roman" w:hAnsi="Times New Roman" w:cs="Times New Roman"/>
          <w:sz w:val="32"/>
          <w:szCs w:val="32"/>
          <w:lang w:val="en-US" w:eastAsia="zh-CN"/>
        </w:rPr>
        <w:t>能够严格按照中心疫情防控工作准则配合专家抽取和开评标服务工作，</w:t>
      </w:r>
      <w:r>
        <w:rPr>
          <w:rFonts w:hint="default" w:ascii="Times New Roman" w:hAnsi="Times New Roman" w:eastAsia="仿宋_GB2312" w:cs="Times New Roman"/>
          <w:sz w:val="32"/>
          <w:szCs w:val="32"/>
          <w:lang w:val="en-US" w:eastAsia="zh-CN"/>
        </w:rPr>
        <w:t>遵守中心各项行为规范</w:t>
      </w:r>
      <w:r>
        <w:rPr>
          <w:rFonts w:hint="eastAsia" w:ascii="Times New Roman" w:hAnsi="Times New Roman" w:cs="Times New Roman"/>
          <w:sz w:val="32"/>
          <w:szCs w:val="32"/>
          <w:lang w:val="en-US" w:eastAsia="zh-CN"/>
        </w:rPr>
        <w:t>，未存在扣分项。</w:t>
      </w:r>
    </w:p>
    <w:p>
      <w:pPr>
        <w:widowControl w:val="0"/>
        <w:wordWrap/>
        <w:adjustRightInd/>
        <w:snapToGrid/>
        <w:spacing w:before="0" w:after="0" w:line="600" w:lineRule="exact"/>
        <w:ind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希望各招标代理机构紧紧围绕</w:t>
      </w:r>
      <w:bookmarkStart w:id="0" w:name="_GoBack"/>
      <w:bookmarkEnd w:id="0"/>
      <w:r>
        <w:rPr>
          <w:rFonts w:hint="default" w:ascii="Times New Roman" w:hAnsi="Times New Roman" w:eastAsia="仿宋_GB2312" w:cs="Times New Roman"/>
          <w:sz w:val="32"/>
          <w:szCs w:val="32"/>
          <w:lang w:val="en-US" w:eastAsia="zh-CN"/>
        </w:rPr>
        <w:t>公开、公平、公正、竞争有序这一宗旨，规范交易程序，不断提高服务水平，</w:t>
      </w:r>
      <w:r>
        <w:rPr>
          <w:rFonts w:hint="eastAsia" w:ascii="Times New Roman" w:hAnsi="Times New Roman" w:cs="Times New Roman"/>
          <w:sz w:val="32"/>
          <w:szCs w:val="32"/>
          <w:lang w:val="en-US" w:eastAsia="zh-CN"/>
        </w:rPr>
        <w:t>持续</w:t>
      </w:r>
      <w:r>
        <w:rPr>
          <w:rFonts w:hint="default" w:ascii="Times New Roman" w:hAnsi="Times New Roman" w:eastAsia="仿宋_GB2312" w:cs="Times New Roman"/>
          <w:sz w:val="32"/>
          <w:szCs w:val="32"/>
          <w:lang w:val="en-US" w:eastAsia="zh-CN"/>
        </w:rPr>
        <w:t>加强对</w:t>
      </w:r>
      <w:r>
        <w:rPr>
          <w:rFonts w:hint="eastAsia" w:ascii="Times New Roman" w:hAnsi="Times New Roman" w:cs="Times New Roman"/>
          <w:sz w:val="32"/>
          <w:szCs w:val="32"/>
          <w:lang w:val="en-US" w:eastAsia="zh-CN"/>
        </w:rPr>
        <w:t>从业</w:t>
      </w:r>
      <w:r>
        <w:rPr>
          <w:rFonts w:hint="default" w:ascii="Times New Roman" w:hAnsi="Times New Roman" w:eastAsia="仿宋_GB2312" w:cs="Times New Roman"/>
          <w:sz w:val="32"/>
          <w:szCs w:val="32"/>
          <w:lang w:val="en-US" w:eastAsia="zh-CN"/>
        </w:rPr>
        <w:t>人员的业务培训和作风管理，保证代理工作质量，</w:t>
      </w:r>
      <w:r>
        <w:rPr>
          <w:rFonts w:hint="eastAsia" w:ascii="Times New Roman" w:hAnsi="Times New Roman" w:cs="Times New Roman"/>
          <w:sz w:val="32"/>
          <w:szCs w:val="32"/>
          <w:lang w:val="en-US" w:eastAsia="zh-CN"/>
        </w:rPr>
        <w:t>端正工作态度</w:t>
      </w:r>
      <w:r>
        <w:rPr>
          <w:rFonts w:hint="default" w:ascii="Times New Roman" w:hAnsi="Times New Roman" w:eastAsia="仿宋_GB2312" w:cs="Times New Roman"/>
          <w:sz w:val="32"/>
          <w:szCs w:val="32"/>
          <w:lang w:val="en-US" w:eastAsia="zh-CN"/>
        </w:rPr>
        <w:t>，切实遵守中心各项管理制度和操作规范，共同营造健康有序的公共资源交易市场环境，为我市的经济发展做出积极贡献。</w:t>
      </w:r>
    </w:p>
    <w:p>
      <w:pPr>
        <w:widowControl w:val="0"/>
        <w:wordWrap/>
        <w:adjustRightInd/>
        <w:snapToGrid/>
        <w:spacing w:before="0" w:after="0" w:line="600" w:lineRule="exact"/>
        <w:ind w:right="0"/>
        <w:jc w:val="both"/>
        <w:textAlignment w:val="auto"/>
        <w:outlineLvl w:val="9"/>
        <w:rPr>
          <w:rFonts w:hint="default" w:ascii="Times New Roman" w:hAnsi="Times New Roman" w:eastAsia="仿宋_GB2312" w:cs="Times New Roman"/>
          <w:sz w:val="32"/>
          <w:szCs w:val="32"/>
          <w:lang w:val="en-US" w:eastAsia="zh-CN"/>
        </w:rPr>
      </w:pPr>
    </w:p>
    <w:p>
      <w:pPr>
        <w:widowControl w:val="0"/>
        <w:wordWrap/>
        <w:adjustRightInd/>
        <w:snapToGrid/>
        <w:spacing w:before="0" w:after="0" w:line="600" w:lineRule="exact"/>
        <w:ind w:right="0"/>
        <w:jc w:val="both"/>
        <w:textAlignment w:val="auto"/>
        <w:outlineLvl w:val="9"/>
        <w:rPr>
          <w:rFonts w:hint="default" w:ascii="Times New Roman" w:hAnsi="Times New Roman" w:eastAsia="仿宋_GB2312" w:cs="Times New Roman"/>
          <w:sz w:val="32"/>
          <w:szCs w:val="32"/>
          <w:lang w:val="en-US" w:eastAsia="zh-CN"/>
        </w:rPr>
      </w:pPr>
    </w:p>
    <w:p>
      <w:pPr>
        <w:widowControl w:val="0"/>
        <w:wordWrap/>
        <w:adjustRightInd/>
        <w:snapToGrid/>
        <w:spacing w:before="0" w:after="0" w:line="600" w:lineRule="exact"/>
        <w:ind w:right="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w:t>
      </w:r>
      <w:r>
        <w:rPr>
          <w:rFonts w:hint="eastAsia" w:ascii="Times New Roman" w:hAnsi="Times New Roman" w:cs="Times New Roman"/>
          <w:sz w:val="32"/>
          <w:szCs w:val="32"/>
          <w:lang w:val="en-US" w:eastAsia="zh-CN"/>
        </w:rPr>
        <w:t>21</w:t>
      </w:r>
      <w:r>
        <w:rPr>
          <w:rFonts w:hint="default" w:ascii="Times New Roman" w:hAnsi="Times New Roman" w:eastAsia="仿宋_GB2312" w:cs="Times New Roman"/>
          <w:sz w:val="32"/>
          <w:szCs w:val="32"/>
          <w:lang w:val="en-US" w:eastAsia="zh-CN"/>
        </w:rPr>
        <w:t>年</w:t>
      </w:r>
      <w:r>
        <w:rPr>
          <w:rFonts w:hint="eastAsia" w:ascii="Times New Roman" w:hAnsi="Times New Roman" w:cs="Times New Roman"/>
          <w:sz w:val="32"/>
          <w:szCs w:val="32"/>
          <w:lang w:val="en-US" w:eastAsia="zh-CN"/>
        </w:rPr>
        <w:t>2</w:t>
      </w:r>
      <w:r>
        <w:rPr>
          <w:rFonts w:hint="default" w:ascii="Times New Roman" w:hAnsi="Times New Roman" w:eastAsia="仿宋_GB2312" w:cs="Times New Roman"/>
          <w:sz w:val="32"/>
          <w:szCs w:val="32"/>
          <w:lang w:val="en-US" w:eastAsia="zh-CN"/>
        </w:rPr>
        <w:t>月巩义市公共资源交易代理机构月评价情况表</w:t>
      </w:r>
      <w:r>
        <w:rPr>
          <w:rFonts w:hint="eastAsia" w:ascii="Times New Roman" w:hAnsi="Times New Roman" w:eastAsia="仿宋_GB2312" w:cs="Times New Roman"/>
          <w:sz w:val="32"/>
          <w:szCs w:val="32"/>
          <w:lang w:val="en-US" w:eastAsia="zh-CN"/>
        </w:rPr>
        <w:t>》</w:t>
      </w:r>
    </w:p>
    <w:sectPr>
      <w:footerReference r:id="rId3" w:type="default"/>
      <w:pgSz w:w="11910" w:h="16840"/>
      <w:pgMar w:top="2098" w:right="1531" w:bottom="1984" w:left="1531" w:header="0" w:footer="1389" w:gutter="0"/>
      <w:cols w:space="720" w:num="1"/>
      <w:rtlGutter w:val="0"/>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Microsoft JhengHei">
    <w:panose1 w:val="020B0604030504040204"/>
    <w:charset w:val="88"/>
    <w:family w:val="auto"/>
    <w:pitch w:val="default"/>
    <w:sig w:usb0="000002A7" w:usb1="28CF4400" w:usb2="00000016" w:usb3="00000000" w:csb0="00100009"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rPr>
        <w:rFonts w:ascii="仿宋_GB2312" w:hAnsi="仿宋_GB2312" w:eastAsia="仿宋_GB2312" w:cs="仿宋_GB2312"/>
        <w:sz w:val="32"/>
        <w:szCs w:val="32"/>
        <w:lang w:val="en-US" w:eastAsia="en-US" w:bidi="ar-SA"/>
      </w:rPr>
      <mc:AlternateContent>
        <mc:Choice Requires="wps">
          <w:drawing>
            <wp:anchor distT="0" distB="0" distL="114300" distR="114300" simplePos="0" relativeHeight="251658240" behindDoc="1" locked="0" layoutInCell="1" allowOverlap="1">
              <wp:simplePos x="0" y="0"/>
              <wp:positionH relativeFrom="page">
                <wp:posOffset>3422650</wp:posOffset>
              </wp:positionH>
              <wp:positionV relativeFrom="page">
                <wp:posOffset>9669145</wp:posOffset>
              </wp:positionV>
              <wp:extent cx="787400" cy="236855"/>
              <wp:effectExtent l="0" t="0" r="0" b="0"/>
              <wp:wrapNone/>
              <wp:docPr id="2" name="Text Box 2"/>
              <wp:cNvGraphicFramePr/>
              <a:graphic xmlns:a="http://schemas.openxmlformats.org/drawingml/2006/main">
                <a:graphicData uri="http://schemas.microsoft.com/office/word/2010/wordprocessingShape">
                  <wps:wsp>
                    <wps:cNvSpPr txBox="1"/>
                    <wps:spPr>
                      <a:xfrm>
                        <a:off x="0" y="0"/>
                        <a:ext cx="787400" cy="236855"/>
                      </a:xfrm>
                      <a:prstGeom prst="rect">
                        <a:avLst/>
                      </a:prstGeom>
                      <a:noFill/>
                      <a:ln w="9525">
                        <a:noFill/>
                      </a:ln>
                    </wps:spPr>
                    <wps:txbx>
                      <w:txbxContent>
                        <w:p>
                          <w:pPr>
                            <w:spacing w:before="0" w:line="372" w:lineRule="exact"/>
                            <w:ind w:left="20" w:right="0" w:firstLine="0"/>
                            <w:jc w:val="left"/>
                            <w:rPr>
                              <w:rFonts w:hint="default" w:ascii="Times New Roman" w:hAnsi="Times New Roman" w:cs="Times New Roman"/>
                              <w:sz w:val="30"/>
                              <w:szCs w:val="30"/>
                            </w:rPr>
                          </w:pPr>
                          <w:r>
                            <w:rPr>
                              <w:rFonts w:hint="default" w:ascii="Times New Roman" w:hAnsi="Times New Roman" w:cs="Times New Roman"/>
                              <w:sz w:val="30"/>
                              <w:szCs w:val="30"/>
                            </w:rPr>
                            <w:t xml:space="preserve">— </w:t>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w:t>
                          </w:r>
                          <w:r>
                            <w:rPr>
                              <w:rFonts w:hint="default" w:ascii="Times New Roman" w:hAnsi="Times New Roman" w:cs="Times New Roman"/>
                              <w:sz w:val="30"/>
                              <w:szCs w:val="30"/>
                            </w:rPr>
                            <w:fldChar w:fldCharType="end"/>
                          </w:r>
                          <w:r>
                            <w:rPr>
                              <w:rFonts w:hint="default" w:ascii="Times New Roman" w:hAnsi="Times New Roman" w:cs="Times New Roman"/>
                              <w:spacing w:val="72"/>
                              <w:sz w:val="30"/>
                              <w:szCs w:val="30"/>
                            </w:rPr>
                            <w:t xml:space="preserve"> </w:t>
                          </w:r>
                          <w:r>
                            <w:rPr>
                              <w:rFonts w:hint="default" w:ascii="Times New Roman" w:hAnsi="Times New Roman" w:cs="Times New Roman"/>
                              <w:sz w:val="30"/>
                              <w:szCs w:val="30"/>
                            </w:rPr>
                            <w:t>—</w:t>
                          </w:r>
                        </w:p>
                      </w:txbxContent>
                    </wps:txbx>
                    <wps:bodyPr lIns="0" tIns="0" rIns="0" bIns="0" upright="1"/>
                  </wps:wsp>
                </a:graphicData>
              </a:graphic>
            </wp:anchor>
          </w:drawing>
        </mc:Choice>
        <mc:Fallback>
          <w:pict>
            <v:shape id="Text Box 2" o:spid="_x0000_s1026" o:spt="202" type="#_x0000_t202" style="position:absolute;left:0pt;margin-left:269.5pt;margin-top:761.35pt;height:18.65pt;width:62pt;mso-position-horizontal-relative:page;mso-position-vertical-relative:page;z-index:-251658240;mso-width-relative:page;mso-height-relative:page;" filled="f" stroked="f" coordsize="21600,21600" o:gfxdata="UEsDBAoAAAAAAIdO4kAAAAAAAAAAAAAAAAAEAAAAZHJzL1BLAwQUAAAACACHTuJAjgZcVNoAAAAN&#10;AQAADwAAAGRycy9kb3ducmV2LnhtbE2PzU7DMBCE70i8g7VI3KjdVDU0jVMhBCckRBoOPTqxm1iN&#10;1yF2f3h7tic47sxo9ptic/EDO9kpuoAK5jMBzGIbjMNOwVf99vAELCaNRg8BrYIfG2FT3t4UOjfh&#10;jJU9bVPHqARjrhX0KY0557HtrddxFkaL5O3D5HWic+q4mfSZyv3AMyEk99ohfej1aF962x62R6/g&#10;eYfVq/v+aD6rfeXqeiXwXR6Uur+bizWwZC/pLwxXfEKHkpiacEQT2aBguVjRlkTGMssegVFEygVJ&#10;zVWSQgAvC/5/RfkLUEsDBBQAAAAIAIdO4kCmFtPnsgEAAHkDAAAOAAAAZHJzL2Uyb0RvYy54bWyt&#10;U8Fu2zAMvQ/oPwi6L3a9pk2NOAWKoMOAYhvQ7gMUWY4FSKIgKrHz96XkOB26Sw+7yBRJPfI90uuH&#10;0Rp2VAE1uIZfL0rOlJPQardv+J/Xp68rzjAK1woDTjX8pJA/bK6+rAdfqwp6MK0KjEAc1oNveB+j&#10;r4sCZa+swAV45SjYQbAi0jXsizaIgdCtKaqyvC0GCK0PIBUiebdTkJ8Rw2cAoeu0VFuQB6tcnFCD&#10;MiISJey1R77J3XadkvFX16GKzDScmMZ8UhGyd+ksNmtR74PwvZbnFsRnWvjAyQrtqOgFaiuiYIeg&#10;/4GyWgZA6OJCgi0mIlkRYnFdftDmpRdeZS4kNfqL6Pj/YOXP4+/AdNvwijMnLA38VY2RPcLIqqTO&#10;4LGmpBdPaXEkN+3M7EdyJtJjF2z6Eh1GcdL2dNE2gUly3q3ubkqKSApV325Xy2VCKd4f+4DxuwLL&#10;ktHwQKPLiorjM8YpdU5JtRw8aWPy+IxjQ8Pvl9UyP7hECNw4qpEoTK0mK4678cxrB+2JaJkfjhRN&#10;2zEbYTZ2s3HwQe976iuTz5A0kUzgvD1p5H/fc+H3P2bz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4GXFTaAAAADQEAAA8AAAAAAAAAAQAgAAAAIgAAAGRycy9kb3ducmV2LnhtbFBLAQIUABQAAAAI&#10;AIdO4kCmFtPnsgEAAHkDAAAOAAAAAAAAAAEAIAAAACkBAABkcnMvZTJvRG9jLnhtbFBLBQYAAAAA&#10;BgAGAFkBAABNBQAAAAA=&#10;">
              <v:fill on="f" focussize="0,0"/>
              <v:stroke on="f"/>
              <v:imagedata o:title=""/>
              <o:lock v:ext="edit" aspectratio="f"/>
              <v:textbox inset="0mm,0mm,0mm,0mm">
                <w:txbxContent>
                  <w:p>
                    <w:pPr>
                      <w:spacing w:before="0" w:line="372" w:lineRule="exact"/>
                      <w:ind w:left="20" w:right="0" w:firstLine="0"/>
                      <w:jc w:val="left"/>
                      <w:rPr>
                        <w:rFonts w:hint="default" w:ascii="Times New Roman" w:hAnsi="Times New Roman" w:cs="Times New Roman"/>
                        <w:sz w:val="30"/>
                        <w:szCs w:val="30"/>
                      </w:rPr>
                    </w:pPr>
                    <w:r>
                      <w:rPr>
                        <w:rFonts w:hint="default" w:ascii="Times New Roman" w:hAnsi="Times New Roman" w:cs="Times New Roman"/>
                        <w:sz w:val="30"/>
                        <w:szCs w:val="30"/>
                      </w:rPr>
                      <w:t xml:space="preserve">— </w:t>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w:t>
                    </w:r>
                    <w:r>
                      <w:rPr>
                        <w:rFonts w:hint="default" w:ascii="Times New Roman" w:hAnsi="Times New Roman" w:cs="Times New Roman"/>
                        <w:sz w:val="30"/>
                        <w:szCs w:val="30"/>
                      </w:rPr>
                      <w:fldChar w:fldCharType="end"/>
                    </w:r>
                    <w:r>
                      <w:rPr>
                        <w:rFonts w:hint="default" w:ascii="Times New Roman" w:hAnsi="Times New Roman" w:cs="Times New Roman"/>
                        <w:spacing w:val="72"/>
                        <w:sz w:val="30"/>
                        <w:szCs w:val="30"/>
                      </w:rPr>
                      <w:t xml:space="preserve"> </w:t>
                    </w:r>
                    <w:r>
                      <w:rPr>
                        <w:rFonts w:hint="default" w:ascii="Times New Roman" w:hAnsi="Times New Roman" w:cs="Times New Roman"/>
                        <w:sz w:val="30"/>
                        <w:szCs w:val="30"/>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hdrShapeDefaults>
    <o:shapelayout v:ext="edit">
      <o:idmap v:ext="edit" data="2"/>
    </o:shapelayout>
  </w:hdrShapeDefaults>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B3C11"/>
    <w:rsid w:val="02EF127B"/>
    <w:rsid w:val="031E0994"/>
    <w:rsid w:val="04BE2038"/>
    <w:rsid w:val="056E6B54"/>
    <w:rsid w:val="07C2743B"/>
    <w:rsid w:val="085B3420"/>
    <w:rsid w:val="08D4566C"/>
    <w:rsid w:val="0B722252"/>
    <w:rsid w:val="0C2C5BD3"/>
    <w:rsid w:val="0D7A5045"/>
    <w:rsid w:val="0D973A88"/>
    <w:rsid w:val="0DEA5A8A"/>
    <w:rsid w:val="0F5322CA"/>
    <w:rsid w:val="10B00053"/>
    <w:rsid w:val="11202480"/>
    <w:rsid w:val="150C221C"/>
    <w:rsid w:val="15DF5664"/>
    <w:rsid w:val="1C590C05"/>
    <w:rsid w:val="1FD0745A"/>
    <w:rsid w:val="25702932"/>
    <w:rsid w:val="270471F9"/>
    <w:rsid w:val="279F63AD"/>
    <w:rsid w:val="28B216B6"/>
    <w:rsid w:val="2A612BFB"/>
    <w:rsid w:val="2CD261B8"/>
    <w:rsid w:val="2D403297"/>
    <w:rsid w:val="2D583038"/>
    <w:rsid w:val="30385E82"/>
    <w:rsid w:val="31DD32AC"/>
    <w:rsid w:val="330F2C50"/>
    <w:rsid w:val="34770F8F"/>
    <w:rsid w:val="34D42DAE"/>
    <w:rsid w:val="37507B20"/>
    <w:rsid w:val="37D0739C"/>
    <w:rsid w:val="39912B8E"/>
    <w:rsid w:val="3A51094E"/>
    <w:rsid w:val="3B482C47"/>
    <w:rsid w:val="3C1F1E19"/>
    <w:rsid w:val="3C930D42"/>
    <w:rsid w:val="3C996668"/>
    <w:rsid w:val="3D0F205C"/>
    <w:rsid w:val="3D603444"/>
    <w:rsid w:val="3D7859F1"/>
    <w:rsid w:val="41A74E21"/>
    <w:rsid w:val="43C37096"/>
    <w:rsid w:val="47EE6C63"/>
    <w:rsid w:val="48654C38"/>
    <w:rsid w:val="493E4D7B"/>
    <w:rsid w:val="4A0E6A1D"/>
    <w:rsid w:val="4B1827C6"/>
    <w:rsid w:val="4C433CBC"/>
    <w:rsid w:val="4FA35795"/>
    <w:rsid w:val="50D61546"/>
    <w:rsid w:val="51FF603C"/>
    <w:rsid w:val="53107E65"/>
    <w:rsid w:val="550B7495"/>
    <w:rsid w:val="5667606C"/>
    <w:rsid w:val="56D95135"/>
    <w:rsid w:val="57B62B6F"/>
    <w:rsid w:val="5A0D3300"/>
    <w:rsid w:val="5BFD3006"/>
    <w:rsid w:val="5DEF67C2"/>
    <w:rsid w:val="5E291528"/>
    <w:rsid w:val="5FD754CA"/>
    <w:rsid w:val="61F01F5D"/>
    <w:rsid w:val="65C85BCC"/>
    <w:rsid w:val="664E24FF"/>
    <w:rsid w:val="686E37A6"/>
    <w:rsid w:val="69191400"/>
    <w:rsid w:val="69D714B0"/>
    <w:rsid w:val="6A917E7B"/>
    <w:rsid w:val="6B7E69C2"/>
    <w:rsid w:val="6CE41A10"/>
    <w:rsid w:val="6E924B47"/>
    <w:rsid w:val="734E230A"/>
    <w:rsid w:val="740626FD"/>
    <w:rsid w:val="75621986"/>
    <w:rsid w:val="772F040D"/>
    <w:rsid w:val="785A08EA"/>
    <w:rsid w:val="78C40D7D"/>
    <w:rsid w:val="7B0E4F36"/>
    <w:rsid w:val="7DC379F9"/>
    <w:rsid w:val="7DE922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en-US" w:eastAsia="en-US"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11"/>
    </w:pPr>
    <w:rPr>
      <w:rFonts w:ascii="仿宋_GB2312" w:hAnsi="仿宋_GB2312" w:eastAsia="仿宋_GB2312" w:cs="仿宋_GB2312"/>
      <w:sz w:val="32"/>
      <w:szCs w:val="32"/>
    </w:rPr>
  </w:style>
  <w:style w:type="paragraph" w:styleId="3">
    <w:name w:val="footer"/>
    <w:basedOn w:val="1"/>
    <w:unhideWhenUsed/>
    <w:qFormat/>
    <w:uiPriority w:val="99"/>
    <w:pPr>
      <w:tabs>
        <w:tab w:val="center" w:pos="4153"/>
        <w:tab w:val="right" w:pos="8306"/>
      </w:tabs>
      <w:snapToGrid w:val="0"/>
      <w:jc w:val="left"/>
    </w:pPr>
    <w:rPr>
      <w:sz w:val="18"/>
    </w:rPr>
  </w:style>
  <w:style w:type="paragraph" w:customStyle="1" w:styleId="6">
    <w:name w:val="List Paragraph"/>
    <w:basedOn w:val="1"/>
    <w:qFormat/>
    <w:uiPriority w:val="1"/>
  </w:style>
  <w:style w:type="paragraph" w:customStyle="1" w:styleId="7">
    <w:name w:val="Table Paragraph"/>
    <w:basedOn w:val="1"/>
    <w:qFormat/>
    <w:uiPriority w:val="1"/>
  </w:style>
  <w:style w:type="table" w:customStyle="1" w:styleId="8">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2019-08-06T07:39:00Z</dcterms:created>
  <dc:creator>FtpDown</dc:creator>
  <cp:lastModifiedBy>lenovo</cp:lastModifiedBy>
  <cp:lastPrinted>2021-01-12T07:21:00Z</cp:lastPrinted>
  <dcterms:modified xsi:type="dcterms:W3CDTF">2021-03-12T07:03:27Z</dcterms:modified>
  <dc:title>舒书记对全会讲话的有关要求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WPS 文字</vt:lpwstr>
  </property>
  <property fmtid="{D5CDD505-2E9C-101B-9397-08002B2CF9AE}" pid="4" name="LastSaved">
    <vt:filetime>2019-08-06T00:00:00Z</vt:filetime>
  </property>
  <property fmtid="{D5CDD505-2E9C-101B-9397-08002B2CF9AE}" pid="5" name="KSOProductBuildVer">
    <vt:lpwstr>2052-11.1.0.10314</vt:lpwstr>
  </property>
</Properties>
</file>